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Анализ изменения трудоемкости продукции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Показатели</w:t>
            </w:r>
          </w:p>
        </w:tc>
        <w:tc>
          <w:tcPr>
            <w:tcW w:w="1000" w:type="dxa"/>
          </w:tcPr>
          <w:p>
            <w:r>
              <w:t xml:space="preserve">Прошлый год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Отчетный год</w:t>
            </w:r>
          </w:p>
        </w:tc>
        <w:tc>
          <w:tcPr>
            <w:tcW w:w="1000" w:type="dxa"/>
          </w:tcPr>
          <w:p>
            <w:r>
              <w:t xml:space="preserve">план к прошлому году</w:t>
            </w:r>
          </w:p>
        </w:tc>
        <w:tc>
          <w:tcPr>
            <w:tcW w:w="1000" w:type="dxa"/>
          </w:tcPr>
          <w:p>
            <w:r>
              <w:t xml:space="preserve">Фактически к прошло лому году</w:t>
            </w:r>
          </w:p>
        </w:tc>
        <w:tc>
          <w:tcPr>
            <w:tcW w:w="1000" w:type="dxa"/>
          </w:tcPr>
          <w:p>
            <w:r>
              <w:t xml:space="preserve">Выполнение плана</w:t>
            </w:r>
          </w:p>
        </w:tc>
      </w:tr>
      <w:tr>
        <w:tc>
          <w:tcPr>
            <w:tcW w:w="4000" w:type="dxa"/>
          </w:tcPr>
          <w:p>
            <w:r>
              <w:t xml:space="preserve">1. Объем выпуска продукции, тыс. руб.</w:t>
            </w:r>
          </w:p>
        </w:tc>
        <w:tc>
          <w:tcPr>
            <w:tcW w:w="1000" w:type="dxa"/>
          </w:tcPr>
          <w:p>
            <w:r>
              <w:t xml:space="preserve">153405</w:t>
            </w:r>
          </w:p>
        </w:tc>
        <w:tc>
          <w:tcPr>
            <w:tcW w:w="1000" w:type="dxa"/>
          </w:tcPr>
          <w:p>
            <w:r>
              <w:t xml:space="preserve">250800</w:t>
            </w:r>
          </w:p>
        </w:tc>
        <w:tc>
          <w:tcPr>
            <w:tcW w:w="1000" w:type="dxa"/>
          </w:tcPr>
          <w:p>
            <w:r>
              <w:t xml:space="preserve">229235</w:t>
            </w:r>
          </w:p>
        </w:tc>
        <w:tc>
          <w:tcPr>
            <w:tcW w:w="1000" w:type="dxa"/>
          </w:tcPr>
          <w:p>
            <w:r>
              <w:t xml:space="preserve">163.49</w:t>
            </w:r>
          </w:p>
        </w:tc>
        <w:tc>
          <w:tcPr>
            <w:tcW w:w="1000" w:type="dxa"/>
          </w:tcPr>
          <w:p>
            <w:r>
              <w:t xml:space="preserve">149.43</w:t>
            </w:r>
          </w:p>
        </w:tc>
        <w:tc>
          <w:tcPr>
            <w:tcW w:w="1000" w:type="dxa"/>
          </w:tcPr>
          <w:p>
            <w:r>
              <w:t xml:space="preserve">91.4</w:t>
            </w:r>
          </w:p>
        </w:tc>
      </w:tr>
      <w:tr>
        <w:tc>
          <w:tcPr>
            <w:tcW w:w="4000" w:type="dxa"/>
          </w:tcPr>
          <w:p>
            <w:r>
              <w:t xml:space="preserve">2. Общее число отработанных всеми рабочими, чел. – час.</w:t>
            </w:r>
          </w:p>
        </w:tc>
        <w:tc>
          <w:tcPr>
            <w:tcW w:w="1000" w:type="dxa"/>
          </w:tcPr>
          <w:p>
            <w:r>
              <w:t xml:space="preserve">63840</w:t>
            </w:r>
          </w:p>
        </w:tc>
        <w:tc>
          <w:tcPr>
            <w:tcW w:w="1000" w:type="dxa"/>
          </w:tcPr>
          <w:p>
            <w:r>
              <w:t xml:space="preserve">63840</w:t>
            </w:r>
          </w:p>
        </w:tc>
        <w:tc>
          <w:tcPr>
            <w:tcW w:w="1000" w:type="dxa"/>
          </w:tcPr>
          <w:p>
            <w:r>
              <w:t xml:space="preserve">63920</w:t>
            </w:r>
          </w:p>
        </w:tc>
        <w:tc>
          <w:tcPr>
            <w:tcW w:w="1000" w:type="dxa"/>
          </w:tcPr>
          <w:p>
            <w:r>
              <w:t xml:space="preserve">100</w:t>
            </w:r>
          </w:p>
        </w:tc>
        <w:tc>
          <w:tcPr>
            <w:tcW w:w="1000" w:type="dxa"/>
          </w:tcPr>
          <w:p>
            <w:r>
              <w:t xml:space="preserve">100.13</w:t>
            </w:r>
          </w:p>
        </w:tc>
        <w:tc>
          <w:tcPr>
            <w:tcW w:w="1000" w:type="dxa"/>
          </w:tcPr>
          <w:p>
            <w:r>
              <w:t xml:space="preserve">100.13</w:t>
            </w:r>
          </w:p>
        </w:tc>
      </w:tr>
    </w:tbl>
    <w:p>
      <w:pPr>
        <w:pStyle w:val="pStyle"/>
      </w:pPr>
      <w:r>
        <w:t xml:space="preserve">Данные таблицы свидетельствуют о том что удельная трудоемкость снизилась по сравнению с прошлым годом на 32.996% (100 - 67.004) при плане 38.834% (100 - 61.166).</w:t>
      </w:r>
    </w:p>
    <w:p>
      <w:pPr>
        <w:pStyle w:val="pStyle"/>
      </w:pPr>
      <w:r>
        <w:t xml:space="preserve">За счет этого фактора был в основном обеспечен рост часовой выработки который зависит от уровня трудовых затрат и степени выполнения норм.</w:t>
      </w:r>
    </w:p>
    <w:p>
      <w:pPr>
        <w:pStyle w:val="pStyle"/>
      </w:pPr>
      <w:r>
        <w:t xml:space="preserve">За счет снижения трудоемкости планировалось повысить выработку на 63.489% :38.834 ∙ 100 / (100 - 38.834)</w:t>
      </w:r>
    </w:p>
    <w:p>
      <w:pPr>
        <w:pStyle w:val="pStyle"/>
      </w:pPr>
      <w:r>
        <w:t xml:space="preserve">Фактически она возросла на 49.244% за счет снижения трудоемкости на 32.996%: 32.996 ∙ 100 / (100 - 32.996).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трудоемкости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Маржинальный анализ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pt/labor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fin/marginal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2024-10-13T18:51:00+03:00</dcterms:created>
  <dcterms:modified xsi:type="dcterms:W3CDTF">2024-10-13T18:51:00+03:00</dcterms:modified>
  <dc:title>Факторный анализ трудоемкости</dc:title>
  <dc:description>https://axd.semestr.ru/apt/labor.php</dc:description>
  <dc:subject>Факторный анализ трудоемкости</dc:subject>
  <cp:keywords>Анализ трудоемкости</cp:keywords>
  <cp:category>Факторный анализ трудоемкости</cp:category>
</cp:coreProperties>
</file>