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Общая материалоемкость зависит от объема выпуска продукции и суммы материальных затрат на ее производство. Объем же выпуска продукции в стоимостном выражении (ВП) может измениться за счет количества произведенной продукции (VВП), ее структуры (УДi) и уровня отпускных цен (ЦП). Сумма материальных затрат (МЗ) также зависит от объема произведенной продукции, ее структуры, расхода материалов на единицу продукции (УР), стоимости материалов (ЦМ).</w:t>
      </w:r>
    </w:p>
    <w:p>
      <w:pPr>
        <w:pStyle w:val="pStyle"/>
      </w:pPr>
      <w:r>
        <w:t xml:space="preserve">Влияние данных факторов на материалоемкость можно определить способом цепной подстановки, используя данные табл. 1</w:t>
      </w:r>
    </w:p>
    <w:tbl>
      <w:tblPr>
        <w:tblStyle w:val="myOwnTableStyle"/>
        <w:jc w:val="center"/>
      </w:tblPr>
      <w:tr>
        <w:tc>
          <w:tcPr>
            <w:tcW w:w="3000" w:type="dxa"/>
          </w:tcPr>
          <w:p>
            <w:r>
              <w:t xml:space="preserve">Показатель</w:t>
            </w:r>
          </w:p>
        </w:tc>
        <w:tc>
          <w:tcPr>
            <w:tcW w:w="3000" w:type="dxa"/>
          </w:tcPr>
          <w:p>
            <w:r>
              <w:t xml:space="preserve">Алгоритм расчета</w:t>
            </w:r>
          </w:p>
        </w:tc>
        <w:tc>
          <w:tcPr>
            <w:tcW w:w="1000" w:type="dxa"/>
          </w:tcPr>
          <w:p>
            <w:r>
              <w:t xml:space="preserve">Сумма тыс. руб.</w:t>
            </w:r>
          </w:p>
        </w:tc>
      </w:tr>
      <w:tr>
        <w:tc>
          <w:tcPr>
            <w:tcW w:w="3000" w:type="dxa"/>
          </w:tcPr>
          <w:p>
            <w:r>
              <w:t xml:space="preserve">I. Затраты материалов на производство продукции:</w:t>
            </w:r>
          </w:p>
        </w:tc>
        <w:tc>
          <w:tcPr>
            <w:tcW w:w="3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</w:tr>
      <w:tr>
        <w:tc>
          <w:tcPr>
            <w:tcW w:w="3000" w:type="dxa"/>
          </w:tcPr>
          <w:p>
            <w:r>
              <w:t xml:space="preserve">а) по плану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iПЛ</w:t>
            </w:r>
            <w:r>
              <w:t xml:space="preserve"> ∙ УР</w:t>
            </w:r>
            <w:r>
              <w:rPr>
                <w:vertAlign w:val="subscript"/>
              </w:rPr>
              <w:t>iПЛ</w:t>
            </w:r>
            <w:r>
              <w:t xml:space="preserve"> ∙ ЦМ</w:t>
            </w:r>
            <w:r>
              <w:rPr>
                <w:vertAlign w:val="subscript"/>
              </w:rPr>
              <w:t>iПЛ</w:t>
            </w:r>
            <w:r>
              <w:t xml:space="preserve">)</w:t>
            </w:r>
          </w:p>
        </w:tc>
        <w:tc>
          <w:tcPr>
            <w:tcW w:w="1000" w:type="dxa"/>
          </w:tcPr>
          <w:p>
            <w:r>
              <w:t xml:space="preserve">2845</w:t>
            </w:r>
          </w:p>
        </w:tc>
      </w:tr>
      <w:tr>
        <w:tc>
          <w:tcPr>
            <w:tcW w:w="3000" w:type="dxa"/>
          </w:tcPr>
          <w:p>
            <w:r>
              <w:t xml:space="preserve">б) по плану, пересчитанному на фактический выпуск продукции при сохранении плановой структуры</w:t>
            </w:r>
          </w:p>
        </w:tc>
        <w:tc>
          <w:tcPr>
            <w:tcW w:w="3000" w:type="dxa"/>
          </w:tcPr>
          <w:p>
            <w:r>
              <w:t xml:space="preserve">МЗ</w:t>
            </w:r>
            <w:r>
              <w:rPr>
                <w:vertAlign w:val="subscript"/>
              </w:rPr>
              <w:t>ПЛ</w:t>
            </w:r>
            <w:r>
              <w:t xml:space="preserve"> ∙ ВП</w:t>
            </w:r>
            <w:r>
              <w:rPr>
                <w:vertAlign w:val="subscript"/>
              </w:rPr>
              <w:t>1</w:t>
            </w:r>
            <w:r>
              <w:t xml:space="preserve">/ВП</w:t>
            </w:r>
            <w:r>
              <w:rPr>
                <w:vertAlign w:val="subscript"/>
              </w:rPr>
              <w:t>0</w:t>
            </w:r>
          </w:p>
        </w:tc>
        <w:tc>
          <w:tcPr>
            <w:tcW w:w="1000" w:type="dxa"/>
          </w:tcPr>
          <w:p>
            <w:r>
              <w:t xml:space="preserve">3088.86</w:t>
            </w:r>
          </w:p>
        </w:tc>
      </w:tr>
      <w:tr>
        <w:tc>
          <w:tcPr>
            <w:tcW w:w="3000" w:type="dxa"/>
          </w:tcPr>
          <w:p>
            <w:r>
              <w:t xml:space="preserve">в) по плановым нормам и плановым ценам на фактический выпуск продукции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iФ</w:t>
            </w:r>
            <w:r>
              <w:t xml:space="preserve"> ∙ УР</w:t>
            </w:r>
            <w:r>
              <w:rPr>
                <w:vertAlign w:val="subscript"/>
              </w:rPr>
              <w:t>iПЛ</w:t>
            </w:r>
            <w:r>
              <w:t xml:space="preserve"> ∙ ЦМ</w:t>
            </w:r>
            <w:r>
              <w:rPr>
                <w:vertAlign w:val="subscript"/>
              </w:rPr>
              <w:t>iПЛ</w:t>
            </w:r>
            <w:r>
              <w:t xml:space="preserve">)</w:t>
            </w:r>
          </w:p>
        </w:tc>
        <w:tc>
          <w:tcPr>
            <w:tcW w:w="1000" w:type="dxa"/>
          </w:tcPr>
          <w:p>
            <w:r>
              <w:t xml:space="preserve">2844.3</w:t>
            </w:r>
          </w:p>
        </w:tc>
      </w:tr>
      <w:tr>
        <w:tc>
          <w:tcPr>
            <w:tcW w:w="3000" w:type="dxa"/>
          </w:tcPr>
          <w:p>
            <w:r>
              <w:t xml:space="preserve">г) фактически по плановым ценам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iФ</w:t>
            </w:r>
            <w:r>
              <w:t xml:space="preserve"> ∙ УР</w:t>
            </w:r>
            <w:r>
              <w:rPr>
                <w:vertAlign w:val="subscript"/>
              </w:rPr>
              <w:t>iФ</w:t>
            </w:r>
            <w:r>
              <w:t xml:space="preserve"> ∙ ЦМ</w:t>
            </w:r>
            <w:r>
              <w:rPr>
                <w:vertAlign w:val="subscript"/>
              </w:rPr>
              <w:t>iПЛ</w:t>
            </w:r>
            <w:r>
              <w:t xml:space="preserve">)</w:t>
            </w:r>
          </w:p>
        </w:tc>
        <w:tc>
          <w:tcPr>
            <w:tcW w:w="1000" w:type="dxa"/>
          </w:tcPr>
          <w:p>
            <w:r>
              <w:t xml:space="preserve">2814</w:t>
            </w:r>
          </w:p>
        </w:tc>
      </w:tr>
      <w:tr>
        <w:tc>
          <w:tcPr>
            <w:tcW w:w="3000" w:type="dxa"/>
          </w:tcPr>
          <w:p>
            <w:r>
              <w:t xml:space="preserve">д) фактически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iФ</w:t>
            </w:r>
            <w:r>
              <w:t xml:space="preserve"> ∙ УР</w:t>
            </w:r>
            <w:r>
              <w:rPr>
                <w:vertAlign w:val="subscript"/>
              </w:rPr>
              <w:t>iФ</w:t>
            </w:r>
            <w:r>
              <w:t xml:space="preserve"> ∙ ЦМ</w:t>
            </w:r>
            <w:r>
              <w:rPr>
                <w:vertAlign w:val="subscript"/>
              </w:rPr>
              <w:t>iФ</w:t>
            </w:r>
            <w:r>
              <w:t xml:space="preserve">)</w:t>
            </w:r>
          </w:p>
        </w:tc>
        <w:tc>
          <w:tcPr>
            <w:tcW w:w="1000" w:type="dxa"/>
          </w:tcPr>
          <w:p>
            <w:r>
              <w:t xml:space="preserve">2868</w:t>
            </w:r>
          </w:p>
        </w:tc>
      </w:tr>
      <w:tr>
        <w:tc>
          <w:tcPr>
            <w:tcW w:w="3000" w:type="dxa"/>
          </w:tcPr>
          <w:p>
            <w:r>
              <w:t xml:space="preserve">II. Стоимость валового выпуска продукции:</w:t>
            </w:r>
          </w:p>
        </w:tc>
        <w:tc>
          <w:tcPr>
            <w:tcW w:w="3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</w:tr>
      <w:tr>
        <w:tc>
          <w:tcPr>
            <w:tcW w:w="3000" w:type="dxa"/>
          </w:tcPr>
          <w:p>
            <w:r>
              <w:t xml:space="preserve">а) по плану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iПЛ</w:t>
            </w:r>
            <w:r>
              <w:t xml:space="preserve"> ∙ ЦП</w:t>
            </w:r>
            <w:r>
              <w:rPr>
                <w:vertAlign w:val="subscript"/>
              </w:rPr>
              <w:t>iПЛ</w:t>
            </w:r>
            <w:r>
              <w:t xml:space="preserve">)</w:t>
            </w:r>
          </w:p>
        </w:tc>
        <w:tc>
          <w:tcPr>
            <w:tcW w:w="1000" w:type="dxa"/>
          </w:tcPr>
          <w:p>
            <w:r>
              <w:t xml:space="preserve">5600</w:t>
            </w:r>
          </w:p>
        </w:tc>
      </w:tr>
      <w:tr>
        <w:tc>
          <w:tcPr>
            <w:tcW w:w="3000" w:type="dxa"/>
          </w:tcPr>
          <w:p>
            <w:r>
              <w:t xml:space="preserve">б) фактически при плановой структуре и плановых ценах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iФ</w:t>
            </w:r>
            <w:r>
              <w:t xml:space="preserve"> ∙ ЦП</w:t>
            </w:r>
            <w:r>
              <w:rPr>
                <w:vertAlign w:val="subscript"/>
              </w:rPr>
              <w:t>iПЛ</w:t>
            </w:r>
            <w:r>
              <w:t xml:space="preserve">)  ± ∆ВП</w:t>
            </w:r>
            <w:r>
              <w:rPr>
                <w:vertAlign w:val="subscript"/>
              </w:rPr>
              <w:t>СТР</w:t>
            </w:r>
          </w:p>
        </w:tc>
        <w:tc>
          <w:tcPr>
            <w:tcW w:w="1000" w:type="dxa"/>
          </w:tcPr>
          <w:p>
            <w:r>
              <w:t xml:space="preserve">6000</w:t>
            </w:r>
          </w:p>
        </w:tc>
      </w:tr>
    </w:tbl>
    <w:p>
      <w:pPr>
        <w:pStyle w:val="pStyle"/>
      </w:pPr>
      <w:r>
        <w:t xml:space="preserve">На основании приведенных данных о материальных затратах и стоимости товарной продукции рассчитаем показатели материалоем­кости продукции, которые необходимы для определения влияния факторов на изменение ее уровня (табл. 2).</w:t>
      </w:r>
    </w:p>
    <w:p>
      <w:pPr>
        <w:pStyle w:val="pStyle"/>
      </w:pPr>
      <w:r>
        <w:t xml:space="preserve">Таблица 2 - Факторный анализ материалоемкости продукции</w:t>
      </w:r>
    </w:p>
    <w:tbl>
      <w:tblPr>
        <w:tblStyle w:val="myOwnTableStyle"/>
        <w:jc w:val="center"/>
      </w:tblPr>
      <w:tr>
        <w:tc>
          <w:tcPr>
            <w:tcW w:w="1000" w:type="dxa"/>
          </w:tcPr>
          <w:p>
            <w:r>
              <w:t xml:space="preserve">Показатель</w:t>
            </w:r>
          </w:p>
        </w:tc>
        <w:tc>
          <w:tcPr>
            <w:tcW w:w="1000" w:type="dxa"/>
          </w:tcPr>
          <w:p>
            <w:r>
              <w:t xml:space="preserve">Объем производства</w:t>
            </w:r>
          </w:p>
        </w:tc>
        <w:tc>
          <w:tcPr>
            <w:tcW w:w="1000" w:type="dxa"/>
          </w:tcPr>
          <w:p>
            <w:r>
              <w:t xml:space="preserve">Структура продукции</w:t>
            </w:r>
          </w:p>
        </w:tc>
        <w:tc>
          <w:tcPr>
            <w:tcW w:w="1000" w:type="dxa"/>
          </w:tcPr>
          <w:p>
            <w:r>
              <w:t xml:space="preserve">Расход материала на изделие</w:t>
            </w:r>
          </w:p>
        </w:tc>
        <w:tc>
          <w:tcPr>
            <w:tcW w:w="1000" w:type="dxa"/>
          </w:tcPr>
          <w:p>
            <w:r>
              <w:t xml:space="preserve">Цены на материалы</w:t>
            </w:r>
          </w:p>
        </w:tc>
        <w:tc>
          <w:tcPr>
            <w:tcW w:w="1000" w:type="dxa"/>
          </w:tcPr>
          <w:p>
            <w:r>
              <w:t xml:space="preserve">Цены на продукцию</w:t>
            </w:r>
          </w:p>
        </w:tc>
        <w:tc>
          <w:tcPr>
            <w:tcW w:w="2500" w:type="dxa"/>
          </w:tcPr>
          <w:p>
            <w:r>
              <w:t xml:space="preserve">Расчет  материалоемкости</w:t>
            </w:r>
          </w:p>
        </w:tc>
        <w:tc>
          <w:tcPr>
            <w:tcW w:w="1000" w:type="dxa"/>
          </w:tcPr>
          <w:p>
            <w:r>
              <w:t xml:space="preserve">Уровень материалоемкости, коп.</w:t>
            </w:r>
          </w:p>
        </w:tc>
      </w:tr>
      <w:tr>
        <w:tc>
          <w:tcPr>
            <w:tcW w:w="1000" w:type="dxa"/>
          </w:tcPr>
          <w:p>
            <w:r>
              <w:t xml:space="preserve">План: ME</w:t>
            </w:r>
            <w:r>
              <w:rPr>
                <w:vertAlign w:val="subscript"/>
              </w:rPr>
              <w:t>0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2500" w:type="dxa"/>
          </w:tcPr>
          <w:p>
            <w:r>
              <w:t xml:space="preserve">2845 : 5600</w:t>
            </w:r>
          </w:p>
        </w:tc>
        <w:tc>
          <w:tcPr>
            <w:tcW w:w="1000" w:type="dxa"/>
          </w:tcPr>
          <w:p>
            <w:r>
              <w:t xml:space="preserve">50.8</w:t>
            </w:r>
          </w:p>
        </w:tc>
      </w:tr>
      <w:tr>
        <w:tc>
          <w:tcPr>
            <w:tcW w:w="1000" w:type="dxa"/>
          </w:tcPr>
          <w:p>
            <w:r>
              <w:t xml:space="preserve">ME</w:t>
            </w:r>
            <w:r>
              <w:rPr>
                <w:vertAlign w:val="subscript"/>
              </w:rPr>
              <w:t>усл1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2500" w:type="dxa"/>
          </w:tcPr>
          <w:p>
            <w:r>
              <w:t xml:space="preserve">3088.86 : 6000</w:t>
            </w:r>
          </w:p>
        </w:tc>
        <w:tc>
          <w:tcPr>
            <w:tcW w:w="1000" w:type="dxa"/>
          </w:tcPr>
          <w:p>
            <w:r>
              <w:t xml:space="preserve">51.48</w:t>
            </w:r>
          </w:p>
        </w:tc>
      </w:tr>
      <w:tr>
        <w:tc>
          <w:tcPr>
            <w:tcW w:w="1000" w:type="dxa"/>
          </w:tcPr>
          <w:p>
            <w:r>
              <w:t xml:space="preserve">ME</w:t>
            </w:r>
            <w:r>
              <w:rPr>
                <w:vertAlign w:val="subscript"/>
              </w:rPr>
              <w:t>усл2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2500" w:type="dxa"/>
          </w:tcPr>
          <w:p>
            <w:r>
              <w:t xml:space="preserve">2844.3 : 5600</w:t>
            </w:r>
          </w:p>
        </w:tc>
        <w:tc>
          <w:tcPr>
            <w:tcW w:w="1000" w:type="dxa"/>
          </w:tcPr>
          <w:p>
            <w:r>
              <w:t xml:space="preserve">50.79</w:t>
            </w:r>
          </w:p>
        </w:tc>
      </w:tr>
      <w:tr>
        <w:tc>
          <w:tcPr>
            <w:tcW w:w="1000" w:type="dxa"/>
          </w:tcPr>
          <w:p>
            <w:r>
              <w:t xml:space="preserve">ME</w:t>
            </w:r>
            <w:r>
              <w:rPr>
                <w:vertAlign w:val="subscript"/>
              </w:rPr>
              <w:t>усл3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2500" w:type="dxa"/>
          </w:tcPr>
          <w:p>
            <w:r>
              <w:t xml:space="preserve">2814 : 5600</w:t>
            </w:r>
          </w:p>
        </w:tc>
        <w:tc>
          <w:tcPr>
            <w:tcW w:w="1000" w:type="dxa"/>
          </w:tcPr>
          <w:p>
            <w:r>
              <w:t xml:space="preserve">50.25</w:t>
            </w:r>
          </w:p>
        </w:tc>
      </w:tr>
    </w:tbl>
    <w:p>
      <w:pPr>
        <w:pStyle w:val="pStyle"/>
      </w:pPr>
      <w:r>
        <w:t xml:space="preserve">Из таблицы видно что материалоемкость в целом снизилась на -3.633 коп. (47.171 - 50.804) в том числе за счет изменения:</w:t>
      </w:r>
    </w:p>
    <w:p>
      <w:pPr>
        <w:pStyle w:val="pStyle"/>
      </w:pPr>
      <w:r>
        <w:t xml:space="preserve">051.481 - 50.804 = 0.677 коп.</w:t>
      </w:r>
    </w:p>
    <w:p>
      <w:pPr>
        <w:pStyle w:val="pStyle"/>
      </w:pPr>
      <w:r>
        <w:t xml:space="preserve">050.791 - 51.481 = -0.69 коп.</w:t>
      </w:r>
    </w:p>
    <w:p>
      <w:pPr>
        <w:pStyle w:val="pStyle"/>
      </w:pPr>
      <w:r>
        <w:t xml:space="preserve">050.25 - 50.791 = -0.541 коп.</w:t>
      </w:r>
    </w:p>
    <w:p>
      <w:pPr>
        <w:pStyle w:val="pStyle"/>
      </w:pPr>
      <w:r>
        <w:t xml:space="preserve">051.214 - 50.25 = 0.964 коп.</w:t>
      </w:r>
    </w:p>
    <w:p>
      <w:pPr>
        <w:pStyle w:val="pStyle"/>
      </w:pPr>
      <w:r>
        <w:t xml:space="preserve">047.171 - 51.214 = -4.043 коп.</w:t>
      </w:r>
    </w:p>
    <w:p>
      <w:pPr>
        <w:pStyle w:val="pStyle"/>
      </w:pPr>
      <w:r>
        <w:t xml:space="preserve">Таким образом можно сделать вывод о том что на предприятии в отчетном году уменьшился удельный вес продукции с более высоким уровнем материалоемкости.</w:t>
      </w:r>
    </w:p>
    <w:p>
      <w:pPr>
        <w:pStyle w:val="pStyle"/>
      </w:pPr>
      <w:r>
        <w:t xml:space="preserve">В результате воздействия этого фактора сумма материальных затрат в себестоимости продукции снизилась на 41.948 тыс. руб.(-0.0069 ∙ 6080)</w:t>
      </w:r>
    </w:p>
    <w:p>
      <w:pPr>
        <w:pStyle w:val="pStyle"/>
      </w:pPr>
      <w:r>
        <w:t xml:space="preserve">Достигнута некоторая экономия материалов по сравнению с утвержденными нормами в результате чего материалоемкость снизилась на 0.541 коп.</w:t>
      </w:r>
    </w:p>
    <w:p>
      <w:pPr>
        <w:pStyle w:val="pStyle"/>
      </w:pPr>
      <w:r>
        <w:t xml:space="preserve">Под влиянием этого фактора сумма материальных затрат в себестоимости продукции снизилась на 32.897 тыс. руб.(-0.00541 ∙ 6080)</w:t>
      </w:r>
    </w:p>
    <w:p>
      <w:pPr>
        <w:pStyle w:val="pStyle"/>
      </w:pPr>
      <w:r>
        <w:t xml:space="preserve">Наиболее существенное влияние на повышение материалоемкости продукции оказал рост цен на сырье и материалы в связи с инфляцией.</w:t>
      </w:r>
    </w:p>
    <w:p>
      <w:pPr>
        <w:pStyle w:val="pStyle"/>
      </w:pPr>
      <w:r>
        <w:t xml:space="preserve">Прирост объема продукции вследствие изменения общей суммы материальных затрат можно определить с помощью следующей формулы:</w:t>
      </w:r>
    </w:p>
    <w:p>
      <w:pPr>
        <w:pStyle w:val="pStyle"/>
      </w:pPr>
      <w:r>
        <w:t xml:space="preserve">∆ВП = (МЗ</w:t>
      </w:r>
      <w:r>
        <w:rPr>
          <w:vertAlign w:val="subscript"/>
        </w:rPr>
        <w:t>1</w:t>
      </w:r>
      <w:r>
        <w:t xml:space="preserve"> - МЗ</w:t>
      </w:r>
      <w:r>
        <w:rPr>
          <w:vertAlign w:val="subscript"/>
        </w:rPr>
        <w:t>0</w:t>
      </w:r>
      <w:r>
        <w:t xml:space="preserve"> / МЕ</w:t>
      </w:r>
      <w:r>
        <w:rPr>
          <w:vertAlign w:val="subscript"/>
        </w:rPr>
        <w:t>0</w:t>
      </w:r>
      <w:r>
        <w:t xml:space="preserve">)</w:t>
      </w:r>
    </w:p>
    <w:p>
      <w:pPr>
        <w:pStyle w:val="pStyle"/>
      </w:pPr>
      <w:r>
        <w:t xml:space="preserve">Влияние изменения эффективности использования материальных ресурсов на прирост объема продукции можно исчислить по следующей формуле:</w:t>
      </w:r>
    </w:p>
    <w:p>
      <w:pPr>
        <w:pStyle w:val="pStyle"/>
      </w:pPr>
      <w:r>
        <w:t xml:space="preserve">∆ВП = МЗ</w:t>
      </w:r>
      <w:r>
        <w:rPr>
          <w:vertAlign w:val="subscript"/>
        </w:rPr>
        <w:t>1</w:t>
      </w:r>
      <w:r>
        <w:t xml:space="preserve">  (1 / МЕ</w:t>
      </w:r>
      <w:r>
        <w:rPr>
          <w:vertAlign w:val="subscript"/>
        </w:rPr>
        <w:t>1</w:t>
      </w:r>
      <w:r>
        <w:t xml:space="preserve"> - 1 / МЕ</w:t>
      </w:r>
      <w:r>
        <w:rPr>
          <w:vertAlign w:val="subscript"/>
        </w:rPr>
        <w:t>0</w:t>
      </w:r>
      <w:r>
        <w:t xml:space="preserve">)</w:t>
      </w:r>
    </w:p>
    <w:p>
      <w:pPr>
        <w:pStyle w:val="pStyle"/>
      </w:pPr>
      <w:r>
        <w:t xml:space="preserve">Таблица 3 - Анализ материалоемкости продукции</w:t>
      </w:r>
    </w:p>
    <w:tbl>
      <w:tblPr>
        <w:tblStyle w:val="myOwnTableStyle"/>
        <w:jc w:val="center"/>
      </w:tblPr>
      <w:tr>
        <w:tc>
          <w:tcPr>
            <w:tcW w:w="4000" w:type="dxa"/>
          </w:tcPr>
          <w:p>
            <w:r>
              <w:t xml:space="preserve">Наименование показателей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Отклонение  тыс. руб.</w:t>
            </w:r>
          </w:p>
        </w:tc>
        <w:tc>
          <w:tcPr>
            <w:tcW w:w="1000" w:type="dxa"/>
          </w:tcPr>
          <w:p>
            <w:r>
              <w:t xml:space="preserve">Отклонение,  %</w:t>
            </w:r>
          </w:p>
        </w:tc>
      </w:tr>
      <w:tr>
        <w:tc>
          <w:tcPr>
            <w:tcW w:w="4000" w:type="dxa"/>
          </w:tcPr>
          <w:p>
            <w:r>
              <w:t xml:space="preserve">1. Объем продукции  тыс. руб. ВП</w:t>
            </w:r>
          </w:p>
        </w:tc>
        <w:tc>
          <w:tcPr>
            <w:tcW w:w="1000" w:type="dxa"/>
          </w:tcPr>
          <w:p>
            <w:r>
              <w:t xml:space="preserve">5600</w:t>
            </w:r>
          </w:p>
        </w:tc>
        <w:tc>
          <w:tcPr>
            <w:tcW w:w="1000" w:type="dxa"/>
          </w:tcPr>
          <w:p>
            <w:r>
              <w:t xml:space="preserve">6080</w:t>
            </w:r>
          </w:p>
        </w:tc>
        <w:tc>
          <w:tcPr>
            <w:tcW w:w="1000" w:type="dxa"/>
          </w:tcPr>
          <w:p>
            <w:r>
              <w:t xml:space="preserve">480</w:t>
            </w:r>
          </w:p>
        </w:tc>
        <w:tc>
          <w:tcPr>
            <w:tcW w:w="1000" w:type="dxa"/>
          </w:tcPr>
          <w:p>
            <w:r>
              <w:t xml:space="preserve">8.57</w:t>
            </w:r>
          </w:p>
        </w:tc>
      </w:tr>
    </w:tbl>
    <w:p>
      <w:pPr>
        <w:pStyle w:val="pStyle"/>
      </w:pPr>
      <w:r>
        <w:t xml:space="preserve">Изменение объема продукции на 480 тыс.руб. было вызвано за счет:</w:t>
      </w:r>
    </w:p>
    <w:p>
      <w:pPr>
        <w:pStyle w:val="pStyle"/>
      </w:pPr>
      <w:r>
        <w:t xml:space="preserve">∙ изменения общей суммы материальных затрат:</w:t>
      </w:r>
    </w:p>
    <w:p>
      <w:pPr>
        <w:pStyle w:val="pStyle"/>
      </w:pPr>
      <w:r>
        <w:t xml:space="preserve">23 / 0.508 = 45.272 тыс. руб.</w:t>
      </w:r>
    </w:p>
    <w:p>
      <w:pPr>
        <w:pStyle w:val="pStyle"/>
      </w:pPr>
      <w:r>
        <w:t xml:space="preserve">∙ изменения эффективности использования материальных ресурсов:</w:t>
      </w:r>
    </w:p>
    <w:p>
      <w:pPr>
        <w:pStyle w:val="pStyle"/>
      </w:pPr>
      <w:r>
        <w:t xml:space="preserve">2868 (1 / 0.472 - 1 / 0.508) = 434.728 тыс. руб.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Анализ материалоемкости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9" w:history="1">
        <w:r>
          <w:rPr>
            <w:color w:val="0000FF"/>
            <w:u w:val="single"/>
          </w:rPr>
          <w:t xml:space="preserve">Показатели использования материальных ресурсов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2" w:history="1">
        <w:r>
          <w:rPr>
            <w:color w:val="0000FF"/>
            <w:u w:val="single"/>
          </w:rPr>
          <w:t xml:space="preserve">Анализ материалоотдачи</w:t>
        </w:r>
      </w:hyperlink>
    </w:p>
    <w:p>
      <w:hyperlink r:id="rId13" w:history="1">
        <w:r>
          <w:rPr>
            <w:color w:val="0000FF"/>
            <w:u w:val="single"/>
          </w:rPr>
          <w:t xml:space="preserve">Анализ трудоемкости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seb/consumption.php" TargetMode="External"/>
  <Relationship Id="rId8" Type="http://schemas.openxmlformats.org/officeDocument/2006/relationships/hyperlink" Target="https://axd.semestr.ru/atex/productivity.php" TargetMode="External"/>
  <Relationship Id="rId9" Type="http://schemas.openxmlformats.org/officeDocument/2006/relationships/hyperlink" Target="https://axd.semestr.ru/aseb/material.php" TargetMode="External"/>
  <Relationship Id="rId10" Type="http://schemas.openxmlformats.org/officeDocument/2006/relationships/hyperlink" Target="https://axd.semestr.ru/apt/axd_pt.php" TargetMode="External"/>
  <Relationship Id="rId11" Type="http://schemas.openxmlformats.org/officeDocument/2006/relationships/hyperlink" Target="https://axd.semestr.ru/afin/profit.php" TargetMode="External"/>
  <Relationship Id="rId12" Type="http://schemas.openxmlformats.org/officeDocument/2006/relationships/hyperlink" Target="https://axd.semestr.ru/aseb/material-efficiency.php" TargetMode="External"/>
  <Relationship Id="rId13" Type="http://schemas.openxmlformats.org/officeDocument/2006/relationships/hyperlink" Target="https://axd.semestr.ru/apt/labor.php" TargetMode="External"/>
  <Relationship Id="rId14" Type="http://schemas.openxmlformats.org/officeDocument/2006/relationships/hyperlink" Target="https://axd.semestr.ru/afin/axd_oborot.php" TargetMode="External"/>
  <Relationship Id="rId15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2024-09-25T01:09:00+03:00</dcterms:created>
  <dcterms:modified xsi:type="dcterms:W3CDTF">2024-09-25T01:09:00+03:00</dcterms:modified>
  <dc:title>Факторный анализ материалоемкости</dc:title>
  <dc:description>https://axd.semestr.ru/aseb/material.php</dc:description>
  <dc:subject>Факторный анализ материалоемкости</dc:subject>
  <cp:keywords>Факторный анализ материалоемкости</cp:keywords>
  <cp:category>Факторный анализ материалоемкости</cp:category>
</cp:coreProperties>
</file>