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b/>
        </w:rPr>
        <w:t>Факторный анализ фондоотдачи</w:t>
      </w:r>
    </w:p>
    <w:p>
      <w:pPr>
        <w:pStyle w:val="pStyle"/>
      </w:pPr>
      <w:r>
        <w:t xml:space="preserve">Факторный анализ фондоотдачи</w:t>
      </w:r>
    </w:p>
    <w:tbl>
      <w:tblPr>
        <w:tblStyle w:val="myOwnTableStyle"/>
        <w:jc w:val="center"/>
      </w:tblPr>
      <w:tr>
        <w:tc>
          <w:tcPr>
            <w:tcW w:w="6000" w:type="dxa"/>
          </w:tcPr>
          <w:p>
            <w:r>
              <w:t xml:space="preserve">Показатели</w:t>
            </w:r>
          </w:p>
        </w:tc>
        <w:tc>
          <w:tcPr>
            <w:tcW w:w="1000" w:type="dxa"/>
          </w:tcPr>
          <w:p>
            <w:r>
              <w:t xml:space="preserve">Базисный период</w:t>
            </w:r>
          </w:p>
        </w:tc>
        <w:tc>
          <w:tcPr>
            <w:tcW w:w="1000" w:type="dxa"/>
          </w:tcPr>
          <w:p>
            <w:r>
              <w:t xml:space="preserve">Отчетный период</w:t>
            </w:r>
          </w:p>
        </w:tc>
        <w:tc>
          <w:tcPr>
            <w:tcW w:w="1000" w:type="dxa"/>
          </w:tcPr>
          <w:p>
            <w:r>
              <w:t xml:space="preserve">Отклонения (+, -)</w:t>
            </w:r>
          </w:p>
        </w:tc>
      </w:tr>
      <w:tr>
        <w:tc>
          <w:tcPr>
            <w:tcW w:w="6000" w:type="dxa"/>
          </w:tcPr>
          <w:p>
            <w:r>
              <w:t xml:space="preserve">1. Товарная продукция в сопоставимых оптовых ценах, тыс. руб. </w:t>
            </w:r>
          </w:p>
        </w:tc>
        <w:tc>
          <w:tcPr>
            <w:tcW w:w="1000" w:type="dxa"/>
          </w:tcPr>
          <w:p>
            <w:r>
              <w:t xml:space="preserve">956467</w:t>
            </w:r>
          </w:p>
        </w:tc>
        <w:tc>
          <w:tcPr>
            <w:tcW w:w="1000" w:type="dxa"/>
          </w:tcPr>
          <w:p>
            <w:r>
              <w:t xml:space="preserve">1350874</w:t>
            </w:r>
          </w:p>
        </w:tc>
        <w:tc>
          <w:tcPr>
            <w:tcW w:w="1000" w:type="dxa"/>
          </w:tcPr>
          <w:p>
            <w:r>
              <w:t xml:space="preserve">394407</w:t>
            </w:r>
          </w:p>
        </w:tc>
      </w:tr>
      <w:tr>
        <w:tc>
          <w:tcPr>
            <w:tcW w:w="6000" w:type="dxa"/>
          </w:tcPr>
          <w:p>
            <w:r>
              <w:t xml:space="preserve">2. Среднегодовая стоимость ОПФ, тыс. руб.</w:t>
            </w:r>
          </w:p>
        </w:tc>
        <w:tc>
          <w:tcPr>
            <w:tcW w:w="1000" w:type="dxa"/>
          </w:tcPr>
          <w:p>
            <w:r>
              <w:t xml:space="preserve">1740603</w:t>
            </w:r>
          </w:p>
        </w:tc>
        <w:tc>
          <w:tcPr>
            <w:tcW w:w="1000" w:type="dxa"/>
          </w:tcPr>
          <w:p>
            <w:r>
              <w:t xml:space="preserve">1994823</w:t>
            </w:r>
          </w:p>
        </w:tc>
        <w:tc>
          <w:tcPr>
            <w:tcW w:w="1000" w:type="dxa"/>
          </w:tcPr>
          <w:p>
            <w:r>
              <w:t xml:space="preserve">254220</w:t>
            </w:r>
          </w:p>
        </w:tc>
      </w:tr>
      <w:tr>
        <w:tc>
          <w:tcPr>
            <w:tcW w:w="6000" w:type="dxa"/>
          </w:tcPr>
          <w:p>
            <w:r>
              <w:t xml:space="preserve">3. В том числе активная часть, тыс. руб.</w:t>
            </w:r>
          </w:p>
        </w:tc>
        <w:tc>
          <w:tcPr>
            <w:tcW w:w="1000" w:type="dxa"/>
          </w:tcPr>
          <w:p>
            <w:r>
              <w:t xml:space="preserve">166778</w:t>
            </w:r>
          </w:p>
        </w:tc>
        <w:tc>
          <w:tcPr>
            <w:tcW w:w="1000" w:type="dxa"/>
          </w:tcPr>
          <w:p>
            <w:r>
              <w:t xml:space="preserve">224792</w:t>
            </w:r>
          </w:p>
        </w:tc>
        <w:tc>
          <w:tcPr>
            <w:tcW w:w="1000" w:type="dxa"/>
          </w:tcPr>
          <w:p>
            <w:r>
              <w:t xml:space="preserve">58014</w:t>
            </w:r>
          </w:p>
        </w:tc>
      </w:tr>
      <w:tr>
        <w:tc>
          <w:tcPr>
            <w:tcW w:w="6000" w:type="dxa"/>
          </w:tcPr>
          <w:p>
            <w:r>
              <w:t xml:space="preserve">4. Фондоотдача (стр.1 / стр.2), руб</w:t>
            </w:r>
          </w:p>
        </w:tc>
        <w:tc>
          <w:tcPr>
            <w:tcW w:w="1000" w:type="dxa"/>
          </w:tcPr>
          <w:p>
            <w:r>
              <w:t xml:space="preserve">0.55</w:t>
            </w:r>
          </w:p>
        </w:tc>
        <w:tc>
          <w:tcPr>
            <w:tcW w:w="1000" w:type="dxa"/>
          </w:tcPr>
          <w:p>
            <w:r>
              <w:t xml:space="preserve">0.68</w:t>
            </w:r>
          </w:p>
        </w:tc>
        <w:tc>
          <w:tcPr>
            <w:tcW w:w="1000" w:type="dxa"/>
          </w:tcPr>
          <w:p>
            <w:r>
              <w:t xml:space="preserve">0.13</w:t>
            </w:r>
          </w:p>
        </w:tc>
      </w:tr>
      <w:tr>
        <w:tc>
          <w:tcPr>
            <w:tcW w:w="6000" w:type="dxa"/>
          </w:tcPr>
          <w:p>
            <w:r>
              <w:t xml:space="preserve">5. Основная продукция предприятия, тыс. руб.</w:t>
            </w:r>
          </w:p>
        </w:tc>
        <w:tc>
          <w:tcPr>
            <w:tcW w:w="1000" w:type="dxa"/>
          </w:tcPr>
          <w:p>
            <w:r>
              <w:t xml:space="preserve">923225</w:t>
            </w:r>
          </w:p>
        </w:tc>
        <w:tc>
          <w:tcPr>
            <w:tcW w:w="1000" w:type="dxa"/>
          </w:tcPr>
          <w:p>
            <w:r>
              <w:t xml:space="preserve">1295451</w:t>
            </w:r>
          </w:p>
        </w:tc>
        <w:tc>
          <w:tcPr>
            <w:tcW w:w="1000" w:type="dxa"/>
          </w:tcPr>
          <w:p>
            <w:r>
              <w:t xml:space="preserve">372226</w:t>
            </w:r>
          </w:p>
        </w:tc>
      </w:tr>
      <w:tr>
        <w:tc>
          <w:tcPr>
            <w:tcW w:w="6000" w:type="dxa"/>
          </w:tcPr>
          <w:p>
            <w:r>
              <w:t xml:space="preserve">6. Уд. вес основной продукции, % (стр.5 / стр.1)</w:t>
            </w:r>
          </w:p>
        </w:tc>
        <w:tc>
          <w:tcPr>
            <w:tcW w:w="1000" w:type="dxa"/>
          </w:tcPr>
          <w:p>
            <w:r>
              <w:t xml:space="preserve">96.52</w:t>
            </w:r>
          </w:p>
        </w:tc>
        <w:tc>
          <w:tcPr>
            <w:tcW w:w="1000" w:type="dxa"/>
          </w:tcPr>
          <w:p>
            <w:r>
              <w:t xml:space="preserve">95.9</w:t>
            </w:r>
          </w:p>
        </w:tc>
        <w:tc>
          <w:tcPr>
            <w:tcW w:w="1000" w:type="dxa"/>
          </w:tcPr>
          <w:p>
            <w:r>
              <w:t xml:space="preserve">-0.63</w:t>
            </w:r>
          </w:p>
        </w:tc>
      </w:tr>
      <w:tr>
        <w:tc>
          <w:tcPr>
            <w:tcW w:w="6000" w:type="dxa"/>
          </w:tcPr>
          <w:p>
            <w:r>
              <w:t xml:space="preserve">7. Среднегодовая производственная мощность, тыс. руб.</w:t>
            </w:r>
          </w:p>
        </w:tc>
        <w:tc>
          <w:tcPr>
            <w:tcW w:w="1000" w:type="dxa"/>
          </w:tcPr>
          <w:p>
            <w:r>
              <w:t xml:space="preserve">923225</w:t>
            </w:r>
          </w:p>
        </w:tc>
        <w:tc>
          <w:tcPr>
            <w:tcW w:w="1000" w:type="dxa"/>
          </w:tcPr>
          <w:p>
            <w:r>
              <w:t xml:space="preserve">1295451</w:t>
            </w:r>
          </w:p>
        </w:tc>
        <w:tc>
          <w:tcPr>
            <w:tcW w:w="1000" w:type="dxa"/>
          </w:tcPr>
          <w:p>
            <w:r>
              <w:t xml:space="preserve">372226</w:t>
            </w:r>
          </w:p>
        </w:tc>
      </w:tr>
      <w:tr>
        <w:tc>
          <w:tcPr>
            <w:tcW w:w="6000" w:type="dxa"/>
          </w:tcPr>
          <w:p>
            <w:r>
              <w:t xml:space="preserve">8. Коэффициент использования среднегодовой производственной мощности (стр.1 / стр.7)</w:t>
            </w:r>
          </w:p>
        </w:tc>
        <w:tc>
          <w:tcPr>
            <w:tcW w:w="1000" w:type="dxa"/>
          </w:tcPr>
          <w:p>
            <w:r>
              <w:t xml:space="preserve">1.04</w:t>
            </w:r>
          </w:p>
        </w:tc>
        <w:tc>
          <w:tcPr>
            <w:tcW w:w="1000" w:type="dxa"/>
          </w:tcPr>
          <w:p>
            <w:r>
              <w:t xml:space="preserve">1.04</w:t>
            </w:r>
          </w:p>
        </w:tc>
        <w:tc>
          <w:tcPr>
            <w:tcW w:w="1000" w:type="dxa"/>
          </w:tcPr>
          <w:p>
            <w:r>
              <w:t xml:space="preserve">0.00678</w:t>
            </w:r>
          </w:p>
        </w:tc>
      </w:tr>
      <w:tr>
        <w:tc>
          <w:tcPr>
            <w:tcW w:w="6000" w:type="dxa"/>
          </w:tcPr>
          <w:p>
            <w:r>
              <w:t xml:space="preserve">9. Фондоотдача активной части производственных фондов (стр1. / стр.3)</w:t>
            </w:r>
          </w:p>
        </w:tc>
        <w:tc>
          <w:tcPr>
            <w:tcW w:w="1000" w:type="dxa"/>
          </w:tcPr>
          <w:p>
            <w:r>
              <w:t xml:space="preserve">5.73</w:t>
            </w:r>
          </w:p>
        </w:tc>
        <w:tc>
          <w:tcPr>
            <w:tcW w:w="1000" w:type="dxa"/>
          </w:tcPr>
          <w:p>
            <w:r>
              <w:t xml:space="preserve">6.01</w:t>
            </w:r>
          </w:p>
        </w:tc>
        <w:tc>
          <w:tcPr>
            <w:tcW w:w="1000" w:type="dxa"/>
          </w:tcPr>
          <w:p>
            <w:r>
              <w:t xml:space="preserve">0.27</w:t>
            </w:r>
          </w:p>
        </w:tc>
      </w:tr>
      <w:tr>
        <w:tc>
          <w:tcPr>
            <w:tcW w:w="6000" w:type="dxa"/>
          </w:tcPr>
          <w:p>
            <w:r>
              <w:t xml:space="preserve">10.Удельный вес активной части в общей стоимости производственных фондов (стр.3 / стр.2)</w:t>
            </w:r>
          </w:p>
        </w:tc>
        <w:tc>
          <w:tcPr>
            <w:tcW w:w="1000" w:type="dxa"/>
          </w:tcPr>
          <w:p>
            <w:r>
              <w:t xml:space="preserve">9.58</w:t>
            </w:r>
          </w:p>
        </w:tc>
        <w:tc>
          <w:tcPr>
            <w:tcW w:w="1000" w:type="dxa"/>
          </w:tcPr>
          <w:p>
            <w:r>
              <w:t xml:space="preserve">11.27</w:t>
            </w:r>
          </w:p>
        </w:tc>
        <w:tc>
          <w:tcPr>
            <w:tcW w:w="1000" w:type="dxa"/>
          </w:tcPr>
          <w:p>
            <w:r>
              <w:t xml:space="preserve">1.69</w:t>
            </w:r>
          </w:p>
        </w:tc>
      </w:tr>
      <w:tr>
        <w:tc>
          <w:tcPr>
            <w:tcW w:w="6000" w:type="dxa"/>
          </w:tcPr>
          <w:p>
            <w:r>
              <w:t xml:space="preserve">11. Отработано всем оборудованием, час.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12. Продолжительность смены, час (g)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13. Число дней работы единицы оборудования (Т)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  <w:tr>
        <w:tc>
          <w:tcPr>
            <w:tcW w:w="6000" w:type="dxa"/>
          </w:tcPr>
          <w:p>
            <w:r>
              <w:t xml:space="preserve">14. Количество единиц оборудования, шт.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  <w:tc>
          <w:tcPr>
            <w:tcW w:w="1000" w:type="dxa"/>
          </w:tcPr>
          <w:p>
            <w:r>
              <w:t xml:space="preserve">0</w:t>
            </w:r>
          </w:p>
        </w:tc>
      </w:tr>
    </w:tbl>
    <w:p>
      <w:pPr>
        <w:pStyle w:val="pStyle"/>
      </w:pPr>
      <w:r>
        <w:rPr>
          <w:b/>
        </w:rPr>
        <w:t>1. Анализ влияния факторов, не связанных с использованием основных фондов, на изменение фондоотдачи</w:t>
      </w:r>
    </w:p>
    <w:p>
      <w:pPr>
        <w:pStyle w:val="pStyle"/>
      </w:pPr>
      <w:r>
        <w:rPr>
          <w:b/>
        </w:rPr>
        <w:t>Фондоотдача рассчитывается по формуле:</w:t>
      </w:r>
    </w:p>
    <w:p>
      <w:pPr>
        <w:pStyle w:val="pStyle"/>
      </w:pPr>
      <w:r>
        <w:t xml:space="preserve">Ф = 1 / К</w:t>
      </w:r>
      <w:r>
        <w:rPr>
          <w:vertAlign w:val="subscript"/>
        </w:rPr>
        <w:t>ос</w:t>
      </w:r>
      <w:r>
        <w:t xml:space="preserve"> ∙ Kм ∙ Фа ∙ Ка</w:t>
      </w:r>
    </w:p>
    <w:p>
      <w:pPr>
        <w:pStyle w:val="pStyle"/>
      </w:pPr>
      <w:r>
        <w:t xml:space="preserve">где  Ф - фондоотдача</w:t>
      </w:r>
    </w:p>
    <w:p>
      <w:pPr>
        <w:pStyle w:val="pStyle"/>
      </w:pPr>
      <w:r>
        <w:t xml:space="preserve">Кос - удельный вес основной продукции, соответствующей профилю предприятия</w:t>
      </w:r>
    </w:p>
    <w:p>
      <w:pPr>
        <w:pStyle w:val="pStyle"/>
      </w:pPr>
      <w:r>
        <w:t xml:space="preserve">Км - коэффициент использования среднегодовой мощности, исчисленной на основе продукции</w:t>
      </w:r>
    </w:p>
    <w:p>
      <w:pPr>
        <w:pStyle w:val="pStyle"/>
      </w:pPr>
      <w:r>
        <w:t xml:space="preserve">Фа - фондоотдача активной части основных фондов (из расчета среднегодовой производственной мощности)</w:t>
      </w:r>
    </w:p>
    <w:p>
      <w:pPr>
        <w:pStyle w:val="pStyle"/>
      </w:pPr>
      <w:r>
        <w:t xml:space="preserve">Ка - удельный вес активной части основных фондов в общей стоимости.</w:t>
      </w:r>
    </w:p>
    <w:p>
      <w:pPr>
        <w:pStyle w:val="pStyle"/>
      </w:pPr>
      <w:r>
        <w:t xml:space="preserve">Фпл = 1 / 96.525 ∙ 1.036 ∙ 5.735 ∙ 9.582 = 0.59 руб.</w:t>
      </w:r>
    </w:p>
    <w:p>
      <w:pPr>
        <w:pStyle w:val="pStyle"/>
      </w:pPr>
      <w:r>
        <w:t xml:space="preserve">Фф = 1 / 95.897 ∙ 1.043 ∙ 6.009 ∙ 11.269 = 0.736 руб.</w:t>
      </w:r>
    </w:p>
    <w:p>
      <w:pPr>
        <w:pStyle w:val="pStyle"/>
      </w:pPr>
      <w:r>
        <w:t xml:space="preserve">За счет всех факторов фондоотдача в отчетном периоде увеличилась на 0.147 руб.</w:t>
      </w:r>
    </w:p>
    <w:p>
      <w:pPr>
        <w:pStyle w:val="pStyle"/>
      </w:pPr>
      <w:r>
        <w:t xml:space="preserve">Влияние факторов на уровень фондоотдачи определяется по формулам:</w:t>
      </w:r>
    </w:p>
    <w:p>
      <w:pPr>
        <w:pStyle w:val="pStyle"/>
      </w:pPr>
      <w:r>
        <w:t xml:space="preserve">а) в результате сокращения непрофильной продукции:</w:t>
      </w:r>
    </w:p>
    <w:p>
      <w:pPr>
        <w:pStyle w:val="pStyle"/>
      </w:pPr>
      <w:r>
        <w:t xml:space="preserve">Ф</w:t>
      </w:r>
      <w:r>
        <w:rPr>
          <w:vertAlign w:val="subscript"/>
        </w:rPr>
        <w:t>1</w:t>
      </w:r>
      <w:r>
        <w:t xml:space="preserve"> = (1/К</w:t>
      </w:r>
      <w:r>
        <w:rPr>
          <w:vertAlign w:val="superscript"/>
        </w:rPr>
        <w:t>ф</w:t>
      </w:r>
      <w:r>
        <w:rPr>
          <w:vertAlign w:val="subscript"/>
        </w:rPr>
        <w:t>0</w:t>
      </w:r>
      <w:r>
        <w:t xml:space="preserve"> - 1/К</w:t>
      </w:r>
      <w:r>
        <w:rPr>
          <w:vertAlign w:val="superscript"/>
        </w:rPr>
        <w:t>пл</w:t>
      </w:r>
      <w:r>
        <w:rPr>
          <w:vertAlign w:val="subscript"/>
        </w:rPr>
        <w:t>0</w:t>
      </w:r>
      <w:r>
        <w:t xml:space="preserve">) ∙ Ф</w:t>
      </w:r>
      <w:r>
        <w:rPr>
          <w:vertAlign w:val="superscript"/>
        </w:rPr>
        <w:t>пл</w:t>
      </w:r>
      <w:r>
        <w:rPr>
          <w:vertAlign w:val="subscript"/>
        </w:rPr>
        <w:t>а</w:t>
      </w:r>
      <w:r>
        <w:t xml:space="preserve"> ∙ К</w:t>
      </w:r>
      <w:r>
        <w:rPr>
          <w:vertAlign w:val="superscript"/>
        </w:rPr>
        <w:t>пл</w:t>
      </w:r>
      <w:r>
        <w:rPr>
          <w:vertAlign w:val="subscript"/>
        </w:rPr>
        <w:t>м</w:t>
      </w:r>
      <w:r>
        <w:t xml:space="preserve"> ∙ К</w:t>
      </w:r>
      <w:r>
        <w:rPr>
          <w:vertAlign w:val="superscript"/>
        </w:rPr>
        <w:t>пл</w:t>
      </w:r>
      <w:r>
        <w:rPr>
          <w:vertAlign w:val="subscript"/>
        </w:rPr>
        <w:t>а</w:t>
      </w:r>
    </w:p>
    <w:p>
      <w:pPr>
        <w:pStyle w:val="pStyle"/>
      </w:pPr>
      <w:r>
        <w:t xml:space="preserve">Ф</w:t>
      </w:r>
      <w:r>
        <w:rPr>
          <w:vertAlign w:val="subscript"/>
        </w:rPr>
        <w:t>1</w:t>
      </w:r>
      <w:r>
        <w:t xml:space="preserve"> = (1 / 95.897 - 1 / 96.525) ∙ 1.036 ∙ 5.735 ∙ 9.582 = 0.00386 руб.</w:t>
      </w:r>
    </w:p>
    <w:p>
      <w:pPr>
        <w:pStyle w:val="pStyle"/>
      </w:pPr>
      <w:r>
        <w:t xml:space="preserve">б) в связи с повышением активной части основных фондов:</w:t>
      </w:r>
    </w:p>
    <w:p>
      <w:pPr>
        <w:pStyle w:val="pStyle"/>
      </w:pPr>
      <w:r>
        <w:t xml:space="preserve">Ф</w:t>
      </w:r>
      <w:r>
        <w:rPr>
          <w:vertAlign w:val="subscript"/>
        </w:rPr>
        <w:t>2</w:t>
      </w:r>
      <w:r>
        <w:t xml:space="preserve"> = 1/К</w:t>
      </w:r>
      <w:r>
        <w:rPr>
          <w:vertAlign w:val="superscript"/>
        </w:rPr>
        <w:t>ф</w:t>
      </w:r>
      <w:r>
        <w:rPr>
          <w:vertAlign w:val="subscript"/>
        </w:rPr>
        <w:t>0</w:t>
      </w:r>
      <w:r>
        <w:t xml:space="preserve"> ∙ (Ф</w:t>
      </w:r>
      <w:r>
        <w:rPr>
          <w:vertAlign w:val="superscript"/>
        </w:rPr>
        <w:t>ф</w:t>
      </w:r>
      <w:r>
        <w:rPr>
          <w:vertAlign w:val="subscript"/>
        </w:rPr>
        <w:t>а</w:t>
      </w:r>
      <w:r>
        <w:t xml:space="preserve"> - Ф</w:t>
      </w:r>
      <w:r>
        <w:rPr>
          <w:vertAlign w:val="superscript"/>
        </w:rPr>
        <w:t>пл</w:t>
      </w:r>
      <w:r>
        <w:rPr>
          <w:vertAlign w:val="subscript"/>
        </w:rPr>
        <w:t>а</w:t>
      </w:r>
      <w:r>
        <w:t xml:space="preserve">) ∙ К</w:t>
      </w:r>
      <w:r>
        <w:rPr>
          <w:vertAlign w:val="superscript"/>
        </w:rPr>
        <w:t>пл</w:t>
      </w:r>
      <w:r>
        <w:rPr>
          <w:vertAlign w:val="subscript"/>
        </w:rPr>
        <w:t>м</w:t>
      </w:r>
      <w:r>
        <w:t xml:space="preserve"> ∙ К</w:t>
      </w:r>
      <w:r>
        <w:rPr>
          <w:vertAlign w:val="superscript"/>
        </w:rPr>
        <w:t>пл</w:t>
      </w:r>
      <w:r>
        <w:rPr>
          <w:vertAlign w:val="subscript"/>
        </w:rPr>
        <w:t>а</w:t>
      </w:r>
    </w:p>
    <w:p>
      <w:pPr>
        <w:pStyle w:val="pStyle"/>
      </w:pPr>
      <w:r>
        <w:t xml:space="preserve">Ф</w:t>
      </w:r>
      <w:r>
        <w:rPr>
          <w:vertAlign w:val="subscript"/>
        </w:rPr>
        <w:t>2</w:t>
      </w:r>
      <w:r>
        <w:t xml:space="preserve"> = 1 / 95.897 ∙ (1.043 - 1.036) ∙ 5.735 ∙ 9.582 = 0.00388 руб.</w:t>
      </w:r>
    </w:p>
    <w:p>
      <w:pPr>
        <w:pStyle w:val="pStyle"/>
      </w:pPr>
      <w:r>
        <w:t xml:space="preserve">в) в результате повышения коэффициента использования среднегодовой мощности:</w:t>
      </w:r>
    </w:p>
    <w:p>
      <w:pPr>
        <w:pStyle w:val="pStyle"/>
      </w:pPr>
      <w:r>
        <w:t xml:space="preserve">Ф</w:t>
      </w:r>
      <w:r>
        <w:rPr>
          <w:vertAlign w:val="subscript"/>
        </w:rPr>
        <w:t>3</w:t>
      </w:r>
      <w:r>
        <w:t xml:space="preserve"> = 1/К</w:t>
      </w:r>
      <w:r>
        <w:rPr>
          <w:vertAlign w:val="superscript"/>
        </w:rPr>
        <w:t>ф</w:t>
      </w:r>
      <w:r>
        <w:rPr>
          <w:vertAlign w:val="subscript"/>
        </w:rPr>
        <w:t>0</w:t>
      </w:r>
      <w:r>
        <w:t xml:space="preserve"> ∙ Ф</w:t>
      </w:r>
      <w:r>
        <w:rPr>
          <w:vertAlign w:val="superscript"/>
        </w:rPr>
        <w:t>ф</w:t>
      </w:r>
      <w:r>
        <w:rPr>
          <w:vertAlign w:val="subscript"/>
        </w:rPr>
        <w:t>а</w:t>
      </w:r>
      <w:r>
        <w:t xml:space="preserve"> ∙ (К</w:t>
      </w:r>
      <w:r>
        <w:rPr>
          <w:vertAlign w:val="superscript"/>
        </w:rPr>
        <w:t>ф</w:t>
      </w:r>
      <w:r>
        <w:rPr>
          <w:vertAlign w:val="subscript"/>
        </w:rPr>
        <w:t>м</w:t>
      </w:r>
      <w:r>
        <w:t xml:space="preserve"> - К</w:t>
      </w:r>
      <w:r>
        <w:rPr>
          <w:vertAlign w:val="superscript"/>
        </w:rPr>
        <w:t>пл</w:t>
      </w:r>
      <w:r>
        <w:rPr>
          <w:vertAlign w:val="subscript"/>
        </w:rPr>
        <w:t>м</w:t>
      </w:r>
      <w:r>
        <w:t xml:space="preserve">) ∙ К</w:t>
      </w:r>
      <w:r>
        <w:rPr>
          <w:vertAlign w:val="superscript"/>
        </w:rPr>
        <w:t>пл</w:t>
      </w:r>
      <w:r>
        <w:rPr>
          <w:vertAlign w:val="subscript"/>
        </w:rPr>
        <w:t>а</w:t>
      </w:r>
    </w:p>
    <w:p>
      <w:pPr>
        <w:pStyle w:val="pStyle"/>
      </w:pPr>
      <w:r>
        <w:t xml:space="preserve">Ф</w:t>
      </w:r>
      <w:r>
        <w:rPr>
          <w:vertAlign w:val="subscript"/>
        </w:rPr>
        <w:t>3</w:t>
      </w:r>
      <w:r>
        <w:t xml:space="preserve"> = 1 / 95.897 ∙ 1.043 ∙ (6.009 - 5.735) ∙ 9.582 = 0.0286 руб.</w:t>
      </w:r>
    </w:p>
    <w:p>
      <w:pPr>
        <w:pStyle w:val="pStyle"/>
      </w:pPr>
      <w:r>
        <w:t xml:space="preserve">г) в связи с увеличением удельного веса активной части в общей стоимости основных фондов:</w:t>
      </w:r>
    </w:p>
    <w:p>
      <w:pPr>
        <w:pStyle w:val="pStyle"/>
      </w:pPr>
      <w:r>
        <w:t xml:space="preserve">Ф</w:t>
      </w:r>
      <w:r>
        <w:rPr>
          <w:vertAlign w:val="subscript"/>
        </w:rPr>
        <w:t>4</w:t>
      </w:r>
      <w:r>
        <w:t xml:space="preserve"> = 1/К</w:t>
      </w:r>
      <w:r>
        <w:rPr>
          <w:vertAlign w:val="superscript"/>
        </w:rPr>
        <w:t>ф</w:t>
      </w:r>
      <w:r>
        <w:rPr>
          <w:vertAlign w:val="subscript"/>
        </w:rPr>
        <w:t>0</w:t>
      </w:r>
      <w:r>
        <w:t xml:space="preserve"> ∙ Ф</w:t>
      </w:r>
      <w:r>
        <w:rPr>
          <w:vertAlign w:val="superscript"/>
        </w:rPr>
        <w:t>ф</w:t>
      </w:r>
      <w:r>
        <w:rPr>
          <w:vertAlign w:val="subscript"/>
        </w:rPr>
        <w:t>а</w:t>
      </w:r>
      <w:r>
        <w:t xml:space="preserve"> ∙ К</w:t>
      </w:r>
      <w:r>
        <w:rPr>
          <w:vertAlign w:val="superscript"/>
        </w:rPr>
        <w:t>ф</w:t>
      </w:r>
      <w:r>
        <w:rPr>
          <w:vertAlign w:val="subscript"/>
        </w:rPr>
        <w:t>м</w:t>
      </w:r>
      <w:r>
        <w:t xml:space="preserve"> ∙ (К</w:t>
      </w:r>
      <w:r>
        <w:rPr>
          <w:vertAlign w:val="superscript"/>
        </w:rPr>
        <w:t>ф</w:t>
      </w:r>
      <w:r>
        <w:rPr>
          <w:vertAlign w:val="subscript"/>
        </w:rPr>
        <w:t>а</w:t>
      </w:r>
      <w:r>
        <w:t xml:space="preserve"> - К</w:t>
      </w:r>
      <w:r>
        <w:rPr>
          <w:vertAlign w:val="superscript"/>
        </w:rPr>
        <w:t>пл</w:t>
      </w:r>
      <w:r>
        <w:rPr>
          <w:vertAlign w:val="subscript"/>
        </w:rPr>
        <w:t>а</w:t>
      </w:r>
      <w:r>
        <w:t xml:space="preserve">)</w:t>
      </w:r>
    </w:p>
    <w:p>
      <w:pPr>
        <w:pStyle w:val="pStyle"/>
      </w:pPr>
      <w:r>
        <w:t xml:space="preserve">Ф</w:t>
      </w:r>
      <w:r>
        <w:rPr>
          <w:vertAlign w:val="subscript"/>
        </w:rPr>
        <w:t>4</w:t>
      </w:r>
      <w:r>
        <w:t xml:space="preserve"> = 1 / 95.897 ∙ 1.043 ∙ 6.009 ∙ (11.269 - 9.582) = 0.11 руб.</w:t>
      </w:r>
    </w:p>
    <w:p>
      <w:pPr>
        <w:pStyle w:val="pStyle"/>
      </w:pPr>
      <w:r>
        <w:t xml:space="preserve">Общее изменение фондоотдачи должно равняться сумме влияния факторов:</w:t>
      </w:r>
    </w:p>
    <w:p>
      <w:pPr>
        <w:pStyle w:val="pStyle"/>
      </w:pPr>
      <w:r>
        <w:t xml:space="preserve">Ф = Ф</w:t>
      </w:r>
      <w:r>
        <w:rPr>
          <w:vertAlign w:val="subscript"/>
        </w:rPr>
        <w:t>1</w:t>
      </w:r>
      <w:r>
        <w:t xml:space="preserve"> + Ф</w:t>
      </w:r>
      <w:r>
        <w:rPr>
          <w:vertAlign w:val="subscript"/>
        </w:rPr>
        <w:t>2</w:t>
      </w:r>
      <w:r>
        <w:t xml:space="preserve"> + Ф</w:t>
      </w:r>
      <w:r>
        <w:rPr>
          <w:vertAlign w:val="subscript"/>
        </w:rPr>
        <w:t>3</w:t>
      </w:r>
      <w:r>
        <w:t xml:space="preserve"> + Ф</w:t>
      </w:r>
      <w:r>
        <w:rPr>
          <w:vertAlign w:val="subscript"/>
        </w:rPr>
        <w:t>4</w:t>
      </w:r>
    </w:p>
    <w:p>
      <w:pPr>
        <w:pStyle w:val="pStyle"/>
      </w:pPr>
      <w:r>
        <w:t xml:space="preserve">Ф = 0.00386 + 0.00388 + 0.0286 + 0.11 = 0.147 руб.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Факторный анализ фондоотдачи</w:t>
        </w:r>
      </w:hyperlink>
    </w:p>
    <w:p>
      <w:pPr>
        <w:pStyle w:val="pStyle"/>
      </w:pPr>
      <w:r>
        <w:t xml:space="preserve">Источник:</w:t>
      </w:r>
    </w:p>
    <w:p>
      <w:hyperlink r:id="rId8" w:history="1">
        <w:r>
          <w:rPr>
            <w:color w:val="0000FF"/>
            <w:u w:val="single"/>
          </w:rPr>
          <w:t xml:space="preserve">Фондоотдача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9" w:history="1">
        <w:r>
          <w:rPr>
            <w:color w:val="0000FF"/>
            <w:u w:val="single"/>
          </w:rPr>
          <w:t xml:space="preserve">Эффект финансового рычага</w:t>
        </w:r>
      </w:hyperlink>
    </w:p>
    <w:p>
      <w:hyperlink r:id="rId10" w:history="1">
        <w:r>
          <w:rPr>
            <w:color w:val="0000FF"/>
            <w:u w:val="single"/>
          </w:rPr>
          <w:t xml:space="preserve">Анализ производительности труда</w:t>
        </w:r>
      </w:hyperlink>
    </w:p>
    <w:p>
      <w:hyperlink r:id="rId11" w:history="1">
        <w:r>
          <w:rPr>
            <w:color w:val="0000FF"/>
            <w:u w:val="single"/>
          </w:rPr>
          <w:t xml:space="preserve">Анализ фондоотдачи</w:t>
        </w:r>
      </w:hyperlink>
    </w:p>
    <w:p>
      <w:hyperlink r:id="rId12" w:history="1">
        <w:r>
          <w:rPr>
            <w:color w:val="0000FF"/>
            <w:u w:val="single"/>
          </w:rPr>
          <w:t xml:space="preserve">Анализ прибыли</w:t>
        </w:r>
      </w:hyperlink>
    </w:p>
    <w:p>
      <w:hyperlink r:id="rId13" w:history="1">
        <w:r>
          <w:rPr>
            <w:color w:val="0000FF"/>
            <w:u w:val="single"/>
          </w:rPr>
          <w:t xml:space="preserve">Эффект финансового рычага</w:t>
        </w:r>
      </w:hyperlink>
    </w:p>
    <w:p>
      <w:hyperlink r:id="rId14" w:history="1">
        <w:r>
          <w:rPr>
            <w:color w:val="0000FF"/>
            <w:u w:val="single"/>
          </w:rPr>
          <w:t xml:space="preserve">Анализ финансового состояния</w:t>
        </w:r>
      </w:hyperlink>
    </w:p>
    <w:p>
      <w:hyperlink r:id="rId15" w:history="1">
        <w:r>
          <w:rPr>
            <w:color w:val="0000FF"/>
            <w:u w:val="single"/>
          </w:rPr>
          <w:t xml:space="preserve">Анализ оборотных средств</w:t>
        </w:r>
      </w:hyperlink>
    </w:p>
    <w:p>
      <w:hyperlink r:id="rId16" w:history="1">
        <w:r>
          <w:rPr>
            <w:color w:val="0000FF"/>
            <w:u w:val="single"/>
          </w:rPr>
          <w:t xml:space="preserve">Анализ финансовой устойчивости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atex/axd_fond.php" TargetMode="External"/>
  <Relationship Id="rId8" Type="http://schemas.openxmlformats.org/officeDocument/2006/relationships/hyperlink" Target="https://www.semestr.ru/enterprise/ks146.php" TargetMode="External"/>
  <Relationship Id="rId9" Type="http://schemas.openxmlformats.org/officeDocument/2006/relationships/hyperlink" Target="https://axd.semestr.ru/afin/leverage.php" TargetMode="External"/>
  <Relationship Id="rId10" Type="http://schemas.openxmlformats.org/officeDocument/2006/relationships/hyperlink" Target="https://axd.semestr.ru/apt/axd_pt.php" TargetMode="External"/>
  <Relationship Id="rId11" Type="http://schemas.openxmlformats.org/officeDocument/2006/relationships/hyperlink" Target="https://axd.semestr.ru/atex/productivity.php" TargetMode="External"/>
  <Relationship Id="rId12" Type="http://schemas.openxmlformats.org/officeDocument/2006/relationships/hyperlink" Target="https://axd.semestr.ru/afin/profit.php" TargetMode="External"/>
  <Relationship Id="rId13" Type="http://schemas.openxmlformats.org/officeDocument/2006/relationships/hyperlink" Target="https://axd.semestr.ru/afin/axd_lev.php" TargetMode="External"/>
  <Relationship Id="rId14" Type="http://schemas.openxmlformats.org/officeDocument/2006/relationships/hyperlink" Target="https://axd.semestr.ru/afin/axd_finans.php" TargetMode="External"/>
  <Relationship Id="rId15" Type="http://schemas.openxmlformats.org/officeDocument/2006/relationships/hyperlink" Target="https://axd.semestr.ru/afin/axd_oborot.php" TargetMode="External"/>
  <Relationship Id="rId16" Type="http://schemas.openxmlformats.org/officeDocument/2006/relationships/hyperlink" Target="https://axd.semestr.ru/afin/axd_ust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2024-10-10T19:44:00+03:00</dcterms:created>
  <dcterms:modified xsi:type="dcterms:W3CDTF">2024-10-10T19:44:00+03:00</dcterms:modified>
  <dc:title>Факторный анализ фондоотдачи</dc:title>
  <dc:description>https://axd.semestr.ru/atex/axd_fond.php</dc:description>
  <dc:subject>Факторный анализ фондоотдачи</dc:subject>
  <cp:keywords>Среднегодовая стоимость ОПФ,активная часть ОПФ,коэффициент использования среднегодовой производственной мощности,фондоотдача,анализ фондоотдачи</cp:keywords>
  <cp:category>Факторный анализ фондоотдачи</cp:category>
</cp:coreProperties>
</file>