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t xml:space="preserve">Дифференциация заработной платы предопределяет неравенство в распределении доходов.</w:t>
      </w:r>
    </w:p>
    <w:p>
      <w:pPr>
        <w:pStyle w:val="pStyle"/>
      </w:pPr>
      <w:r>
        <w:t xml:space="preserve">Дифференциация доходов населения -  это объективно складывающиеся различия в уровне доходов индивидов и социальных групп, обусловленные различиями в оплате труда и социальных выплат, способностях и предприимчивости, имущественном положении.</w:t>
      </w:r>
    </w:p>
    <w:p>
      <w:pPr>
        <w:pStyle w:val="pStyle"/>
      </w:pPr>
      <w:r>
        <w:t xml:space="preserve">Денежные доходы населения включают в себя заработную плату, социальные трансферты, предпринимательские доходы, проценты, дивиденды и другие доходы от собственности, а также общую стоимость продукции –личного подсобного хозяйства, потребленной в семье и проданной. Доходы населения распределяются по группам населения неравномерно.</w:t>
      </w:r>
    </w:p>
    <w:p>
      <w:pPr>
        <w:pStyle w:val="pStyle"/>
      </w:pPr>
      <w:r>
        <w:t xml:space="preserve">Существует ряд показателей оценки дифференциации доходов населения, которые позволяют увидеть, насколько интенсивно протекает данный процесс. В их числе:</w:t>
      </w:r>
    </w:p>
    <w:p>
      <w:pPr>
        <w:pStyle w:val="pStyle"/>
      </w:pPr>
      <w:r>
        <w:t xml:space="preserve">• распределение населения по уровню среднедушевых доходов – это показатель удельного веса или процента населения в тех или иных заданных интервалах среднедушевых денежных доходов.</w:t>
      </w:r>
    </w:p>
    <w:p>
      <w:pPr>
        <w:pStyle w:val="pStyle"/>
      </w:pPr>
      <w:r>
        <w:t xml:space="preserve">• распределение общего объема денежных доходов по различным группам населения – показатель в процентах доли общего объема денежных доходов, которой обладает каждая из двадцати процентных (десяти процентных) групп населения. Этот показатель наглядно представил экономист Лоренц в виде кривой фактического распределения дохода (</w:t>
      </w:r>
      <w:r>
        <w:rPr>
          <w:b/>
        </w:rPr>
        <w:t>кривая Лоренца</w:t>
      </w:r>
      <w:r>
        <w:t xml:space="preserve">).</w:t>
      </w:r>
    </w:p>
    <w:p>
      <w:pPr>
        <w:pStyle w:val="pStyle"/>
      </w:pPr>
      <w:r>
        <w:t xml:space="preserve">Денежные доходы населения</w:t>
      </w:r>
    </w:p>
    <w:tbl>
      <w:tblPr>
        <w:tblStyle w:val="myOwnTableStyle"/>
        <w:jc w:val="center"/>
      </w:tblPr>
      <w:tr>
        <w:tc>
          <w:tcPr>
            <w:tcW w:w="2000" w:type="dxa"/>
          </w:tcPr>
          <w:p>
            <w:r>
              <w:t xml:space="preserve">Группы по денежным доходам, %</w:t>
            </w:r>
          </w:p>
        </w:tc>
        <w:tc>
          <w:tcPr>
            <w:tcW w:w="2000" w:type="dxa"/>
          </w:tcPr>
          <w:p>
            <w:r>
              <w:t xml:space="preserve">Доля денежных доходов в группе, %</w:t>
            </w:r>
          </w:p>
        </w:tc>
      </w:tr>
      <w:tr>
        <w:tc>
          <w:tcPr>
            <w:tcW w:w="2000" w:type="dxa"/>
          </w:tcPr>
          <w:p>
            <w:r>
              <w:t xml:space="preserve">20</w:t>
            </w:r>
          </w:p>
        </w:tc>
        <w:tc>
          <w:tcPr>
            <w:tcW w:w="2000" w:type="dxa"/>
          </w:tcPr>
          <w:p>
            <w:r>
              <w:t xml:space="preserve">9</w:t>
            </w:r>
          </w:p>
        </w:tc>
      </w:tr>
      <w:tr>
        <w:tc>
          <w:tcPr>
            <w:tcW w:w="2000" w:type="dxa"/>
          </w:tcPr>
          <w:p>
            <w:r>
              <w:t xml:space="preserve">40</w:t>
            </w:r>
          </w:p>
        </w:tc>
        <w:tc>
          <w:tcPr>
            <w:tcW w:w="2000" w:type="dxa"/>
          </w:tcPr>
          <w:p>
            <w:r>
              <w:t xml:space="preserve">12</w:t>
            </w:r>
          </w:p>
        </w:tc>
      </w:tr>
      <w:tr>
        <w:tc>
          <w:tcPr>
            <w:tcW w:w="2000" w:type="dxa"/>
          </w:tcPr>
          <w:p>
            <w:r>
              <w:t xml:space="preserve">60</w:t>
            </w:r>
          </w:p>
        </w:tc>
        <w:tc>
          <w:tcPr>
            <w:tcW w:w="2000" w:type="dxa"/>
          </w:tcPr>
          <w:p>
            <w:r>
              <w:t xml:space="preserve">14</w:t>
            </w:r>
          </w:p>
        </w:tc>
      </w:tr>
      <w:tr>
        <w:tc>
          <w:tcPr>
            <w:tcW w:w="2000" w:type="dxa"/>
          </w:tcPr>
          <w:p>
            <w:r>
              <w:t xml:space="preserve">80</w:t>
            </w:r>
          </w:p>
        </w:tc>
        <w:tc>
          <w:tcPr>
            <w:tcW w:w="2000" w:type="dxa"/>
          </w:tcPr>
          <w:p>
            <w:r>
              <w:t xml:space="preserve">21</w:t>
            </w:r>
          </w:p>
        </w:tc>
      </w:tr>
      <w:tr>
        <w:tc>
          <w:tcPr>
            <w:tcW w:w="2000" w:type="dxa"/>
          </w:tcPr>
          <w:p>
            <w:r>
              <w:t xml:space="preserve">100</w:t>
            </w:r>
          </w:p>
        </w:tc>
        <w:tc>
          <w:tcPr>
            <w:tcW w:w="2000" w:type="dxa"/>
          </w:tcPr>
          <w:p>
            <w:r>
              <w:t xml:space="preserve">32</w:t>
            </w:r>
          </w:p>
        </w:tc>
      </w:tr>
    </w:tbl>
    <w:p>
      <w:pPr>
        <w:pStyle w:val="pStyle"/>
      </w:pPr>
      <w:r>
        <w:t xml:space="preserve">Для этого разобьем все население страны на 5 равных, по числу входящих в них домохозяйств, групп (по 20 %).</w:t>
      </w:r>
    </w:p>
    <w:p>
      <w:pPr>
        <w:pStyle w:val="pStyle"/>
      </w:pPr>
      <w:r>
        <w:t xml:space="preserve">Линия фактического неравенства строится на основании данных о процентах дохода приходящихся на каждые 20 % населения.</w:t>
      </w:r>
    </w:p>
    <w:p>
      <w:pPr>
        <w:pStyle w:val="pStyle"/>
      </w:pPr>
      <w:r>
        <w:t xml:space="preserve">Если нижняя первая часть населения получила 9% всех доходов, то графически это будет точка А. Чтобы получить точку В необходимо сложить процент дохода первых 20 % населения с процентами доходов вторых 20 % населения (9% + 12%) и т.д.</w:t>
      </w:r>
    </w:p>
    <w:tbl>
      <w:tblPr>
        <w:tblStyle w:val="myOwnTableStyle"/>
        <w:jc w:val="center"/>
      </w:tblPr>
      <w:tr>
        <w:tc>
          <w:tcPr>
            <w:tcW w:w="1200" w:type="dxa"/>
          </w:tcPr>
          <w:p>
            <w:r>
              <w:t xml:space="preserve">20-ти процентные группы населения</w:t>
            </w:r>
          </w:p>
        </w:tc>
        <w:tc>
          <w:tcPr>
            <w:tcW w:w="1200" w:type="dxa"/>
          </w:tcPr>
          <w:p>
            <w:r>
              <w:t xml:space="preserve">Объем денежных доходов населения, в % к итогу </w:t>
            </w:r>
          </w:p>
        </w:tc>
        <w:tc>
          <w:tcPr>
            <w:tcW w:w="1200" w:type="dxa"/>
          </w:tcPr>
          <w:p>
            <w:r>
              <w:t xml:space="preserve">Доля денежных доходов нарастающим итогом, %</w:t>
            </w:r>
          </w:p>
        </w:tc>
        <w:tc>
          <w:tcPr>
            <w:tcW w:w="1200" w:type="dxa"/>
          </w:tcPr>
          <w:p>
            <w:r>
              <w:t xml:space="preserve">Площадь треугольника</w:t>
            </w:r>
          </w:p>
        </w:tc>
        <w:tc>
          <w:tcPr>
            <w:tcW w:w="1200" w:type="dxa"/>
          </w:tcPr>
          <w:p>
            <w:r>
              <w:t xml:space="preserve">Площадь прямоугольника</w:t>
            </w:r>
          </w:p>
        </w:tc>
        <w:tc>
          <w:tcPr>
            <w:tcW w:w="1200" w:type="dxa"/>
          </w:tcPr>
          <w:p>
            <w:r>
              <w:t xml:space="preserve">Общая площадь фигуры, S</w:t>
            </w:r>
            <w:r>
              <w:rPr>
                <w:vertAlign w:val="subscript"/>
              </w:rPr>
              <w:t>i</w:t>
            </w:r>
          </w:p>
        </w:tc>
      </w:tr>
      <w:tr>
        <w:tc>
          <w:tcPr>
            <w:tcW w:w="1200" w:type="dxa"/>
          </w:tcPr>
          <w:p>
            <w:r>
              <w:t xml:space="preserve">20</w:t>
            </w:r>
          </w:p>
        </w:tc>
        <w:tc>
          <w:tcPr>
            <w:tcW w:w="1200" w:type="dxa"/>
          </w:tcPr>
          <w:p>
            <w:r>
              <w:t xml:space="preserve">9</w:t>
            </w:r>
          </w:p>
        </w:tc>
        <w:tc>
          <w:tcPr>
            <w:tcW w:w="1200" w:type="dxa"/>
          </w:tcPr>
          <w:p>
            <w:r>
              <w:t xml:space="preserve">9</w:t>
            </w:r>
          </w:p>
        </w:tc>
        <w:tc>
          <w:tcPr>
            <w:tcW w:w="1200" w:type="dxa"/>
          </w:tcPr>
          <w:p>
            <w:r>
              <w:t xml:space="preserve">90</w:t>
            </w:r>
          </w:p>
        </w:tc>
        <w:tc>
          <w:tcPr>
            <w:tcW w:w="1200" w:type="dxa"/>
          </w:tcPr>
          <w:p>
            <w:r>
              <w:t xml:space="preserve">0</w:t>
            </w:r>
          </w:p>
        </w:tc>
        <w:tc>
          <w:tcPr>
            <w:tcW w:w="1200" w:type="dxa"/>
          </w:tcPr>
          <w:p>
            <w:r>
              <w:t xml:space="preserve">90</w:t>
            </w:r>
          </w:p>
        </w:tc>
      </w:tr>
      <w:tr>
        <w:tc>
          <w:tcPr>
            <w:tcW w:w="1200" w:type="dxa"/>
          </w:tcPr>
          <w:p>
            <w:r>
              <w:t xml:space="preserve">40</w:t>
            </w:r>
          </w:p>
        </w:tc>
        <w:tc>
          <w:tcPr>
            <w:tcW w:w="1200" w:type="dxa"/>
          </w:tcPr>
          <w:p>
            <w:r>
              <w:t xml:space="preserve">12</w:t>
            </w:r>
          </w:p>
        </w:tc>
        <w:tc>
          <w:tcPr>
            <w:tcW w:w="1200" w:type="dxa"/>
          </w:tcPr>
          <w:p>
            <w:r>
              <w:t xml:space="preserve">21</w:t>
            </w:r>
          </w:p>
        </w:tc>
        <w:tc>
          <w:tcPr>
            <w:tcW w:w="1200" w:type="dxa"/>
          </w:tcPr>
          <w:p>
            <w:r>
              <w:t xml:space="preserve">120</w:t>
            </w:r>
          </w:p>
        </w:tc>
        <w:tc>
          <w:tcPr>
            <w:tcW w:w="1200" w:type="dxa"/>
          </w:tcPr>
          <w:p>
            <w:r>
              <w:t xml:space="preserve">180</w:t>
            </w:r>
          </w:p>
        </w:tc>
        <w:tc>
          <w:tcPr>
            <w:tcW w:w="1200" w:type="dxa"/>
          </w:tcPr>
          <w:p>
            <w:r>
              <w:t xml:space="preserve">300</w:t>
            </w:r>
          </w:p>
        </w:tc>
      </w:tr>
      <w:tr>
        <w:tc>
          <w:tcPr>
            <w:tcW w:w="1200" w:type="dxa"/>
          </w:tcPr>
          <w:p>
            <w:r>
              <w:t xml:space="preserve">60</w:t>
            </w:r>
          </w:p>
        </w:tc>
        <w:tc>
          <w:tcPr>
            <w:tcW w:w="1200" w:type="dxa"/>
          </w:tcPr>
          <w:p>
            <w:r>
              <w:t xml:space="preserve">14</w:t>
            </w:r>
          </w:p>
        </w:tc>
        <w:tc>
          <w:tcPr>
            <w:tcW w:w="1200" w:type="dxa"/>
          </w:tcPr>
          <w:p>
            <w:r>
              <w:t xml:space="preserve">35</w:t>
            </w:r>
          </w:p>
        </w:tc>
        <w:tc>
          <w:tcPr>
            <w:tcW w:w="1200" w:type="dxa"/>
          </w:tcPr>
          <w:p>
            <w:r>
              <w:t xml:space="preserve">140</w:t>
            </w:r>
          </w:p>
        </w:tc>
        <w:tc>
          <w:tcPr>
            <w:tcW w:w="1200" w:type="dxa"/>
          </w:tcPr>
          <w:p>
            <w:r>
              <w:t xml:space="preserve">420</w:t>
            </w:r>
          </w:p>
        </w:tc>
        <w:tc>
          <w:tcPr>
            <w:tcW w:w="1200" w:type="dxa"/>
          </w:tcPr>
          <w:p>
            <w:r>
              <w:t xml:space="preserve">560</w:t>
            </w:r>
          </w:p>
        </w:tc>
      </w:tr>
      <w:tr>
        <w:tc>
          <w:tcPr>
            <w:tcW w:w="1200" w:type="dxa"/>
          </w:tcPr>
          <w:p>
            <w:r>
              <w:t xml:space="preserve">80</w:t>
            </w:r>
          </w:p>
        </w:tc>
        <w:tc>
          <w:tcPr>
            <w:tcW w:w="1200" w:type="dxa"/>
          </w:tcPr>
          <w:p>
            <w:r>
              <w:t xml:space="preserve">21</w:t>
            </w:r>
          </w:p>
        </w:tc>
        <w:tc>
          <w:tcPr>
            <w:tcW w:w="1200" w:type="dxa"/>
          </w:tcPr>
          <w:p>
            <w:r>
              <w:t xml:space="preserve">56</w:t>
            </w:r>
          </w:p>
        </w:tc>
        <w:tc>
          <w:tcPr>
            <w:tcW w:w="1200" w:type="dxa"/>
          </w:tcPr>
          <w:p>
            <w:r>
              <w:t xml:space="preserve">210</w:t>
            </w:r>
          </w:p>
        </w:tc>
        <w:tc>
          <w:tcPr>
            <w:tcW w:w="1200" w:type="dxa"/>
          </w:tcPr>
          <w:p>
            <w:r>
              <w:t xml:space="preserve">700</w:t>
            </w:r>
          </w:p>
        </w:tc>
        <w:tc>
          <w:tcPr>
            <w:tcW w:w="1200" w:type="dxa"/>
          </w:tcPr>
          <w:p>
            <w:r>
              <w:t xml:space="preserve">910</w:t>
            </w:r>
          </w:p>
        </w:tc>
      </w:tr>
      <w:tr>
        <w:tc>
          <w:tcPr>
            <w:tcW w:w="1200" w:type="dxa"/>
          </w:tcPr>
          <w:p>
            <w:r>
              <w:t xml:space="preserve">100</w:t>
            </w:r>
          </w:p>
        </w:tc>
        <w:tc>
          <w:tcPr>
            <w:tcW w:w="1200" w:type="dxa"/>
          </w:tcPr>
          <w:p>
            <w:r>
              <w:t xml:space="preserve">32</w:t>
            </w:r>
          </w:p>
        </w:tc>
        <w:tc>
          <w:tcPr>
            <w:tcW w:w="1200" w:type="dxa"/>
          </w:tcPr>
          <w:p>
            <w:r>
              <w:t xml:space="preserve">88</w:t>
            </w:r>
          </w:p>
        </w:tc>
        <w:tc>
          <w:tcPr>
            <w:tcW w:w="1200" w:type="dxa"/>
          </w:tcPr>
          <w:p>
            <w:r>
              <w:t xml:space="preserve">320</w:t>
            </w:r>
          </w:p>
        </w:tc>
        <w:tc>
          <w:tcPr>
            <w:tcW w:w="1200" w:type="dxa"/>
          </w:tcPr>
          <w:p>
            <w:r>
              <w:t xml:space="preserve">1120</w:t>
            </w:r>
          </w:p>
        </w:tc>
        <w:tc>
          <w:tcPr>
            <w:tcW w:w="1200" w:type="dxa"/>
          </w:tcPr>
          <w:p>
            <w:r>
              <w:t xml:space="preserve">1440</w:t>
            </w:r>
          </w:p>
        </w:tc>
      </w:tr>
      <w:tr>
        <w:tc>
          <w:tcPr>
            <w:tcW w:w="1200" w:type="dxa"/>
          </w:tcPr>
          <w:p>
            <w:r>
              <w:t xml:space="preserve"> </w:t>
            </w:r>
          </w:p>
        </w:tc>
        <w:tc>
          <w:tcPr>
            <w:tcW w:w="1200" w:type="dxa"/>
          </w:tcPr>
          <w:p>
            <w:r>
              <w:t xml:space="preserve"> </w:t>
            </w:r>
          </w:p>
        </w:tc>
        <w:tc>
          <w:tcPr>
            <w:tcW w:w="1200" w:type="dxa"/>
          </w:tcPr>
          <w:p>
            <w:r>
              <w:t xml:space="preserve"> </w:t>
            </w:r>
          </w:p>
        </w:tc>
        <w:tc>
          <w:tcPr>
            <w:tcW w:w="1200" w:type="dxa"/>
          </w:tcPr>
          <w:p>
            <w:r>
              <w:t xml:space="preserve"> </w:t>
            </w:r>
          </w:p>
        </w:tc>
        <w:tc>
          <w:tcPr>
            <w:tcW w:w="1200" w:type="dxa"/>
          </w:tcPr>
          <w:p>
            <w:r>
              <w:t xml:space="preserve"> </w:t>
            </w:r>
          </w:p>
        </w:tc>
        <w:tc>
          <w:tcPr>
            <w:tcW w:w="1200" w:type="dxa"/>
          </w:tcPr>
          <w:p>
            <w:r>
              <w:t xml:space="preserve">3300</w:t>
            </w:r>
          </w:p>
        </w:tc>
      </w:tr>
    </w:tbl>
    <w:p>
      <w:pPr>
        <w:pStyle w:val="pStyle"/>
      </w:pPr>
      <w:r>
        <w:t xml:space="preserve">Чтобы построить кривую Лоренца откладываем по оси Х значения 1-го столбца, а по оси Y значения 3-го столбца.</w:t>
      </w:r>
    </w:p>
    <w:p>
      <w:r>
        <w:pict>
          <v:shape type="#_x0000_t75" style="width:375pt;height:375pt">
            <v:imagedata r:id="rId7" o:title=""/>
          </v:shape>
        </w:pict>
      </w:r>
    </w:p>
    <w:p>
      <w:pPr>
        <w:pStyle w:val="pStyle"/>
      </w:pPr>
      <w:r>
        <w:rPr>
          <w:b/>
        </w:rPr>
        <w:t>1. Рассчитаем коэффициенты концентрации доходов (индекс Джини)</w:t>
      </w:r>
      <w:r>
        <w:t xml:space="preserve">.</w:t>
      </w:r>
    </w:p>
    <w:p>
      <w:pPr>
        <w:pStyle w:val="pStyle"/>
      </w:pPr>
      <w:r>
        <w:t xml:space="preserve">Коэффициент концентрации доходов (индекс Джини) представляет собой отношение площади фигуры, образованной кривой Лоренца и линией абсолютного равенства (S</w:t>
      </w:r>
      <w:r>
        <w:rPr>
          <w:vertAlign w:val="subscript"/>
        </w:rPr>
        <w:t>1</w:t>
      </w:r>
      <w:r>
        <w:t xml:space="preserve">) к площади всего треугольника OGE. Для приблизительной оценки коэффициента Джини отрезки кривой Лоренца представляют в виде прямых линий OA, AB, BC, CD, DE. Затем последовательно находят площади треугольников и прямоугольников и получают площадь фигуры S</w:t>
      </w:r>
      <w:r>
        <w:rPr>
          <w:vertAlign w:val="subscript"/>
        </w:rPr>
        <w:t>2</w:t>
      </w:r>
      <w:r>
        <w:t xml:space="preserve">. Чем больше индекс Джини, тем больше неравенство.</w:t>
      </w:r>
    </w:p>
    <w:p>
      <w:pPr>
        <w:pStyle w:val="pStyle"/>
      </w:pPr>
      <w:r>
        <w:t xml:space="preserve">Таким образом, уровень неравенства определяется с помощью коэффициента Джини.</w:t>
      </w:r>
    </w:p>
    <w:p>
      <w:pPr>
        <w:pStyle w:val="pStyle"/>
      </w:pPr>
      <w:r>
        <w:t xml:space="preserve">Он рассчитывается как отношение площади фигуры OABCDE к площади треугольника OEG. Для того чтобы определить площадь фигуры, лежащей ниже кривой Лоренца, соединяем прямыми линиями точки ОА, АВ и т.д.</w:t>
      </w:r>
    </w:p>
    <w:p>
      <w:pPr>
        <w:pStyle w:val="pStyle"/>
      </w:pPr>
      <w:r>
        <w:t xml:space="preserve">Опускаем перпендикуляр на ось X и находим площади фигур, лежащих ниже точек А, B, С.</w:t>
      </w:r>
    </w:p>
    <w:p>
      <w:pPr>
        <w:pStyle w:val="pStyle"/>
      </w:pPr>
      <w:r>
        <w:t xml:space="preserve">Площадь S</w:t>
      </w:r>
      <w:r>
        <w:rPr>
          <w:vertAlign w:val="subscript"/>
        </w:rPr>
        <w:t>ABB'A</w:t>
      </w:r>
      <w:r>
        <w:t xml:space="preserve"> состоит из треугольника и прямоугольника. Фигура </w:t>
      </w:r>
      <w:r>
        <w:rPr>
          <w:i/>
          <w:iCs/>
        </w:rPr>
        <w:t>BCCB'</w:t>
      </w:r>
      <w:r>
        <w:t xml:space="preserve"> также состоит из треугольника и прямоугольника.</w:t>
      </w:r>
    </w:p>
    <w:p>
      <w:pPr>
        <w:pStyle w:val="pStyle"/>
      </w:pPr>
      <w:r>
        <w:t xml:space="preserve">Сложив все площади фигур, получим площадь фигуры S</w:t>
      </w:r>
      <w:r>
        <w:rPr>
          <w:vertAlign w:val="subscript"/>
        </w:rPr>
        <w:t>2</w:t>
      </w:r>
      <w:r>
        <w:t xml:space="preserve">.</w:t>
      </w:r>
    </w:p>
    <w:p>
      <w:pPr>
        <w:pStyle w:val="pStyle"/>
      </w:pPr>
      <w:r>
        <w:t xml:space="preserve">Площадь треугольника OEG находим по формуле:</w:t>
      </w:r>
    </w:p>
    <w:p>
      <w:pPr>
        <w:pStyle w:val="pStyle"/>
      </w:pPr>
      <w:r>
        <w:rPr>
          <w:vertAlign w:val="superscript"/>
        </w:rPr>
        <w:t>1</w:t>
      </w:r>
      <w:r>
        <w:t xml:space="preserve">/</w:t>
      </w:r>
      <w:r>
        <w:rPr>
          <w:vertAlign w:val="subscript"/>
        </w:rPr>
        <w:t>2</w:t>
      </w:r>
      <w:r>
        <w:t xml:space="preserve">•100%•100% = 5000</w:t>
      </w:r>
    </w:p>
    <w:p>
      <w:pPr>
        <w:pStyle w:val="pStyle"/>
      </w:pPr>
      <w:r>
        <w:t xml:space="preserve">Отсюда коэффициент Лоренца равен:</w:t>
      </w:r>
    </w:p>
    <w:p>
      <w:pPr>
        <w:pStyle w:val="pStyle"/>
      </w:pPr>
      <w:r>
        <w:t xml:space="preserve">(S</w:t>
      </w:r>
      <w:r>
        <w:rPr>
          <w:vertAlign w:val="subscript"/>
        </w:rPr>
        <w:t>OEG</w:t>
      </w:r>
      <w:r>
        <w:t xml:space="preserve"> - S</w:t>
      </w:r>
      <w:r>
        <w:rPr>
          <w:vertAlign w:val="subscript"/>
        </w:rPr>
        <w:t>2</w:t>
      </w:r>
      <w:r>
        <w:t xml:space="preserve">) / S</w:t>
      </w:r>
      <w:r>
        <w:rPr>
          <w:vertAlign w:val="subscript"/>
        </w:rPr>
        <w:t>OEG</w:t>
      </w:r>
    </w:p>
    <w:p>
      <w:pPr>
        <w:pStyle w:val="pStyle"/>
      </w:pPr>
      <w:r>
        <w:t xml:space="preserve">(5000 - 3300) / 5000 = 0.34</w:t>
      </w:r>
    </w:p>
    <w:p>
      <w:pPr>
        <w:pStyle w:val="pStyle"/>
      </w:pPr>
      <w:r>
        <w:rPr>
          <w:b/>
        </w:rPr>
        <w:t>2. Индекс Джини</w:t>
      </w:r>
      <w:r>
        <w:t xml:space="preserve">.</w:t>
      </w:r>
    </w:p>
    <w:p>
      <w:pPr>
        <w:pStyle w:val="pStyle"/>
      </w:pPr>
      <w:r>
        <w:t xml:space="preserve">Для исчисления коэффициента Джини необходимо рассчитать величины p</w:t>
      </w:r>
      <w:r>
        <w:rPr>
          <w:vertAlign w:val="subscript"/>
        </w:rPr>
        <w:t>i</w:t>
      </w:r>
      <w:r>
        <w:t xml:space="preserve"> и q</w:t>
      </w:r>
      <w:r>
        <w:rPr>
          <w:vertAlign w:val="subscript"/>
        </w:rPr>
        <w:t>i</w:t>
      </w:r>
      <w:r>
        <w:t xml:space="preserve">. Здесь q</w:t>
      </w:r>
      <w:r>
        <w:rPr>
          <w:vertAlign w:val="subscript"/>
        </w:rPr>
        <w:t>i</w:t>
      </w:r>
      <w:r>
        <w:t xml:space="preserve"> - доля денежных доходов нарастающим итогом (столбец №3 табл.1) деленная на 100.</w:t>
      </w:r>
    </w:p>
    <w:tbl>
      <w:tblPr>
        <w:tblStyle w:val="myOwnTableStyle"/>
        <w:jc w:val="center"/>
      </w:tblPr>
      <w:tr>
        <w:tc>
          <w:tcPr>
            <w:tcW w:w="1200" w:type="dxa"/>
          </w:tcPr>
          <w:p>
            <w:r>
              <w:t xml:space="preserve">p</w:t>
            </w:r>
            <w:r>
              <w:rPr>
                <w:vertAlign w:val="subscript"/>
              </w:rPr>
              <w:t>i</w:t>
            </w:r>
          </w:p>
        </w:tc>
        <w:tc>
          <w:tcPr>
            <w:tcW w:w="1200" w:type="dxa"/>
          </w:tcPr>
          <w:p>
            <w:r>
              <w:t xml:space="preserve">q</w:t>
            </w:r>
            <w:r>
              <w:rPr>
                <w:vertAlign w:val="subscript"/>
              </w:rPr>
              <w:t>i</w:t>
            </w:r>
          </w:p>
        </w:tc>
        <w:tc>
          <w:tcPr>
            <w:tcW w:w="1200" w:type="dxa"/>
          </w:tcPr>
          <w:p>
            <w:r>
              <w:t xml:space="preserve">p</w:t>
            </w:r>
            <w:r>
              <w:rPr>
                <w:vertAlign w:val="subscript"/>
              </w:rPr>
              <w:t>i</w:t>
            </w:r>
            <w:r>
              <w:t xml:space="preserve">q</w:t>
            </w:r>
            <w:r>
              <w:rPr>
                <w:vertAlign w:val="subscript"/>
              </w:rPr>
              <w:t>i+1</w:t>
            </w:r>
          </w:p>
        </w:tc>
        <w:tc>
          <w:tcPr>
            <w:tcW w:w="1200" w:type="dxa"/>
          </w:tcPr>
          <w:p>
            <w:r>
              <w:t xml:space="preserve">p</w:t>
            </w:r>
            <w:r>
              <w:rPr>
                <w:vertAlign w:val="subscript"/>
              </w:rPr>
              <w:t>i+1</w:t>
            </w:r>
            <w:r>
              <w:t xml:space="preserve">q</w:t>
            </w:r>
            <w:r>
              <w:rPr>
                <w:vertAlign w:val="subscript"/>
              </w:rPr>
              <w:t>i</w:t>
            </w:r>
          </w:p>
        </w:tc>
      </w:tr>
      <w:tr>
        <w:tc>
          <w:tcPr>
            <w:tcW w:w="1200" w:type="dxa"/>
          </w:tcPr>
          <w:p>
            <w:r>
              <w:t xml:space="preserve">0.2</w:t>
            </w:r>
          </w:p>
        </w:tc>
        <w:tc>
          <w:tcPr>
            <w:tcW w:w="1200" w:type="dxa"/>
          </w:tcPr>
          <w:p>
            <w:r>
              <w:t xml:space="preserve">0.09</w:t>
            </w:r>
          </w:p>
        </w:tc>
        <w:tc>
          <w:tcPr>
            <w:tcW w:w="1200" w:type="dxa"/>
          </w:tcPr>
          <w:p>
            <w:r>
              <w:t xml:space="preserve">0.042</w:t>
            </w:r>
          </w:p>
        </w:tc>
        <w:tc>
          <w:tcPr>
            <w:tcW w:w="1200" w:type="dxa"/>
          </w:tcPr>
          <w:p>
            <w:r>
              <w:t xml:space="preserve">-</w:t>
            </w:r>
          </w:p>
        </w:tc>
      </w:tr>
      <w:tr>
        <w:tc>
          <w:tcPr>
            <w:tcW w:w="1200" w:type="dxa"/>
          </w:tcPr>
          <w:p>
            <w:r>
              <w:t xml:space="preserve">0.4</w:t>
            </w:r>
          </w:p>
        </w:tc>
        <w:tc>
          <w:tcPr>
            <w:tcW w:w="1200" w:type="dxa"/>
          </w:tcPr>
          <w:p>
            <w:r>
              <w:t xml:space="preserve">0.21</w:t>
            </w:r>
          </w:p>
        </w:tc>
        <w:tc>
          <w:tcPr>
            <w:tcW w:w="1200" w:type="dxa"/>
          </w:tcPr>
          <w:p>
            <w:r>
              <w:t xml:space="preserve">0.14</w:t>
            </w:r>
          </w:p>
        </w:tc>
        <w:tc>
          <w:tcPr>
            <w:tcW w:w="1200" w:type="dxa"/>
          </w:tcPr>
          <w:p>
            <w:r>
              <w:t xml:space="preserve">0.036</w:t>
            </w:r>
          </w:p>
        </w:tc>
      </w:tr>
      <w:tr>
        <w:tc>
          <w:tcPr>
            <w:tcW w:w="1200" w:type="dxa"/>
          </w:tcPr>
          <w:p>
            <w:r>
              <w:t xml:space="preserve">0.6</w:t>
            </w:r>
          </w:p>
        </w:tc>
        <w:tc>
          <w:tcPr>
            <w:tcW w:w="1200" w:type="dxa"/>
          </w:tcPr>
          <w:p>
            <w:r>
              <w:t xml:space="preserve">0.35</w:t>
            </w:r>
          </w:p>
        </w:tc>
        <w:tc>
          <w:tcPr>
            <w:tcW w:w="1200" w:type="dxa"/>
          </w:tcPr>
          <w:p>
            <w:r>
              <w:t xml:space="preserve">0.336</w:t>
            </w:r>
          </w:p>
        </w:tc>
        <w:tc>
          <w:tcPr>
            <w:tcW w:w="1200" w:type="dxa"/>
          </w:tcPr>
          <w:p>
            <w:r>
              <w:t xml:space="preserve">0.126</w:t>
            </w:r>
          </w:p>
        </w:tc>
      </w:tr>
      <w:tr>
        <w:tc>
          <w:tcPr>
            <w:tcW w:w="1200" w:type="dxa"/>
          </w:tcPr>
          <w:p>
            <w:r>
              <w:t xml:space="preserve">0.8</w:t>
            </w:r>
          </w:p>
        </w:tc>
        <w:tc>
          <w:tcPr>
            <w:tcW w:w="1200" w:type="dxa"/>
          </w:tcPr>
          <w:p>
            <w:r>
              <w:t xml:space="preserve">0.56</w:t>
            </w:r>
          </w:p>
        </w:tc>
        <w:tc>
          <w:tcPr>
            <w:tcW w:w="1200" w:type="dxa"/>
          </w:tcPr>
          <w:p>
            <w:r>
              <w:t xml:space="preserve">0.704</w:t>
            </w:r>
          </w:p>
        </w:tc>
        <w:tc>
          <w:tcPr>
            <w:tcW w:w="1200" w:type="dxa"/>
          </w:tcPr>
          <w:p>
            <w:r>
              <w:t xml:space="preserve">0.28</w:t>
            </w:r>
          </w:p>
        </w:tc>
      </w:tr>
      <w:tr>
        <w:tc>
          <w:tcPr>
            <w:tcW w:w="1200" w:type="dxa"/>
          </w:tcPr>
          <w:p>
            <w:r>
              <w:t xml:space="preserve">1</w:t>
            </w:r>
          </w:p>
        </w:tc>
        <w:tc>
          <w:tcPr>
            <w:tcW w:w="1200" w:type="dxa"/>
          </w:tcPr>
          <w:p>
            <w:r>
              <w:t xml:space="preserve">0.88</w:t>
            </w:r>
          </w:p>
        </w:tc>
        <w:tc>
          <w:tcPr>
            <w:tcW w:w="1200" w:type="dxa"/>
          </w:tcPr>
          <w:p>
            <w:r>
              <w:t xml:space="preserve">-</w:t>
            </w:r>
          </w:p>
        </w:tc>
        <w:tc>
          <w:tcPr>
            <w:tcW w:w="1200" w:type="dxa"/>
          </w:tcPr>
          <w:p>
            <w:r>
              <w:t xml:space="preserve">0.56</w:t>
            </w:r>
          </w:p>
        </w:tc>
      </w:tr>
      <w:tr>
        <w:tc>
          <w:tcPr>
            <w:tcW w:w="1200" w:type="dxa"/>
          </w:tcPr>
          <w:p>
            <w:r>
              <w:t xml:space="preserve">ВСЕГО</w:t>
            </w:r>
          </w:p>
        </w:tc>
        <w:tc>
          <w:tcPr>
            <w:tcW w:w="1200" w:type="dxa"/>
          </w:tcPr>
          <w:p>
            <w:r>
              <w:t xml:space="preserve"> </w:t>
            </w:r>
          </w:p>
        </w:tc>
        <w:tc>
          <w:tcPr>
            <w:tcW w:w="1200" w:type="dxa"/>
          </w:tcPr>
          <w:p>
            <w:r>
              <w:t xml:space="preserve">1.222</w:t>
            </w:r>
          </w:p>
        </w:tc>
        <w:tc>
          <w:tcPr>
            <w:tcW w:w="1200" w:type="dxa"/>
          </w:tcPr>
          <w:p>
            <w:r>
              <w:t xml:space="preserve">1.002</w:t>
            </w:r>
          </w:p>
        </w:tc>
      </w:tr>
    </w:tbl>
    <w:p>
      <w:pPr>
        <w:pStyle w:val="pStyle"/>
      </w:pPr>
      <w:r>
        <w:t xml:space="preserve">Коэффициент Джини равен:</w:t>
      </w:r>
    </w:p>
    <w:p>
      <m:oMathPara>
        <m:oMath>
          <m:sSub>
            <m:e>
              <m:r>
                <m:t>K</m:t>
              </m:r>
            </m:e>
            <m:sub>
              <m:r>
                <m:t>L</m:t>
              </m:r>
            </m:sub>
          </m:sSub>
        </m:oMath>
      </m:oMathPara>
      <m:oMathPara>
        <m:oMath>
          <m:r>
            <m:t>=</m:t>
          </m:r>
        </m:oMath>
      </m:oMathPara>
      <m:oMathPara>
        <m:oMath>
          <m:nary>
            <m:naryPr>
              <m:chr m:val="∑"/>
              <m:ctrlPr>
                <w:rPr/>
              </m:ctrlPr>
            </m:naryPr>
            <m:sub>
              <m:r>
                <m:t>i=1</m:t>
              </m:r>
            </m:sub>
            <m:sup>
              <m:r>
                <m:t>n</m:t>
              </m:r>
            </m:sup>
            <m:e>
              <m:sSub>
                <m:e>
                  <m:r>
                    <m:t>p</m:t>
                  </m:r>
                </m:e>
                <m:sub>
                  <m:r>
                    <m:t>i</m:t>
                  </m:r>
                </m:sub>
              </m:sSub>
              <m:r>
                <m:t>∙</m:t>
              </m:r>
              <m:sSub>
                <m:e>
                  <m:r>
                    <m:t>q</m:t>
                  </m:r>
                </m:e>
                <m:sub>
                  <m:r>
                    <m:t>i+1</m:t>
                  </m:r>
                </m:sub>
              </m:sSub>
            </m:e>
          </m:nary>
          <m:r>
            <m:t>-</m:t>
          </m:r>
          <m:nary>
            <m:naryPr>
              <m:chr m:val="∑"/>
              <m:ctrlPr>
                <w:rPr/>
              </m:ctrlPr>
            </m:naryPr>
            <m:sub>
              <m:r>
                <m:t>i=1</m:t>
              </m:r>
            </m:sub>
            <m:sup>
              <m:r>
                <m:t>n</m:t>
              </m:r>
            </m:sup>
            <m:e>
              <m:sSub>
                <m:e>
                  <m:r>
                    <m:t>p</m:t>
                  </m:r>
                </m:e>
                <m:sub>
                  <m:r>
                    <m:t>i+1</m:t>
                  </m:r>
                </m:sub>
              </m:sSub>
              <m:r>
                <m:t>∙</m:t>
              </m:r>
              <m:sSub>
                <m:e>
                  <m:r>
                    <m:t>q</m:t>
                  </m:r>
                </m:e>
                <m:sub>
                  <m:r>
                    <m:t>i</m:t>
                  </m:r>
                </m:sub>
              </m:sSub>
            </m:e>
          </m:nary>
        </m:oMath>
      </m:oMathPara>
      <m:oMathPara>
        <m:oMath>
          <m:r>
            <m:t>=</m:t>
          </m:r>
        </m:oMath>
      </m:oMathPara>
      <m:oMathPara>
        <m:oMath>
          <m:r>
            <m:t>1.222-1.002</m:t>
          </m:r>
        </m:oMath>
      </m:oMathPara>
      <m:oMathPara>
        <m:oMath>
          <m:r>
            <m:t>=</m:t>
          </m:r>
        </m:oMath>
      </m:oMathPara>
      <m:oMathPara>
        <m:oMath>
          <m:r>
            <m:t>0.22</m:t>
          </m:r>
        </m:oMath>
      </m:oMathPara>
    </w:p>
    <w:p>
      <w:pPr>
        <w:pStyle w:val="pStyle"/>
      </w:pPr>
      <w:r>
        <w:t xml:space="preserve">Коэффициент Джини изменяется в пределах от 0 до 1. Причем, чем больше его значение отклоняется от нуля и приближается к единице, тем в большей степени доходы сконцентрированы в руках отдельных групп населения.</w:t>
      </w:r>
    </w:p>
    <w:p>
      <w:pPr>
        <w:pStyle w:val="pStyle"/>
      </w:pPr>
      <w:r>
        <w:rPr>
          <w:b/>
        </w:rPr>
        <w:t>3. Децильный коэффициент дифференциации доходов</w:t>
      </w:r>
      <w:r>
        <w:t xml:space="preserve">.</w:t>
      </w:r>
    </w:p>
    <w:p>
      <w:pPr>
        <w:pStyle w:val="pStyle"/>
      </w:pPr>
      <w:r>
        <w:t xml:space="preserve">Децильный коэффициент дифференциации доходов – соотношение среднедушевых денежных доходов последней и первой групп населения. Он показывает, во сколько раз доходы 10% наиболее обеспеченного населения превышают доходы 10% наименее обеспеченного населения.</w:t>
      </w:r>
    </w:p>
    <w:p>
      <w:pPr>
        <w:pStyle w:val="pStyle"/>
      </w:pPr>
      <w:r>
        <w:t xml:space="preserve">32 / 9 = 3.556</w:t>
      </w:r>
    </w:p>
    <w:p>
      <w:pPr>
        <w:pStyle w:val="pStyle"/>
      </w:pPr>
    </w:p>
    <w:p>
      <w:pPr>
        <w:pStyle w:val="pStyle"/>
      </w:pPr>
      <w:r>
        <w:t xml:space="preserve">Решение было получено и оформлено с помощью сервиса:</w:t>
      </w:r>
    </w:p>
    <w:p>
      <w:hyperlink r:id="rId8" w:history="1">
        <w:r>
          <w:rPr>
            <w:color w:val="0000FF"/>
            <w:u w:val="single"/>
          </w:rPr>
          <w:t xml:space="preserve">Кривая Лоренца онлайн</w:t>
        </w:r>
      </w:hyperlink>
    </w:p>
    <w:p>
      <w:pPr>
        <w:pStyle w:val="pStyle"/>
      </w:pPr>
      <w:r>
        <w:t xml:space="preserve">С этой задачей также решают:</w:t>
      </w:r>
    </w:p>
    <w:p>
      <w:hyperlink r:id="rId9" w:history="1">
        <w:r>
          <w:rPr>
            <w:color w:val="0000FF"/>
            <w:u w:val="single"/>
          </w:rPr>
          <w:t xml:space="preserve">Система национальных счетов</w:t>
        </w:r>
      </w:hyperlink>
    </w:p>
    <w:p>
      <w:hyperlink r:id="rId10" w:history="1">
        <w:r>
          <w:rPr>
            <w:color w:val="0000FF"/>
            <w:u w:val="single"/>
          </w:rPr>
          <w:t xml:space="preserve">Расчет ВВП</w:t>
        </w:r>
      </w:hyperlink>
    </w:p>
    <w:p>
      <w:hyperlink r:id="rId11" w:history="1">
        <w:r>
          <w:rPr>
            <w:color w:val="0000FF"/>
            <w:u w:val="single"/>
          </w:rPr>
          <w:t xml:space="preserve">Денежные агрегаты: M0, M1, M2, M3, M4</w:t>
        </w:r>
      </w:hyperlink>
    </w:p>
    <w:p>
      <w:hyperlink r:id="rId12" w:history="1">
        <w:r>
          <w:rPr>
            <w:color w:val="0000FF"/>
            <w:u w:val="single"/>
          </w:rPr>
          <w:t xml:space="preserve">Индекс Херфиндаля-Хиршмана</w:t>
        </w:r>
      </w:hyperlink>
    </w:p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8"/>
        <w:szCs w:val="28"/>
      </w:rPr>
    </w:rPrDefault>
  </w:docDefaults>
  <w:style w:type="paragraph" w:customStyle="1" w:styleId="pStyle">
    <w:name w:val="pStyle"/>
    <w:pPr>
      <w:jc w:val="both"/>
      <w:ind w:firstLine="720"/>
      <w:spacing w:after="0" w:line="360" w:lineRule="auto"/>
    </w:pPr>
  </w:style>
  <w:style w:type="table" w:customStyle="1" w:styleId="myOwnTableStyle">
    <w:name w:val="myOwnTableStyle"/>
    <w:uiPriority w:val="99"/>
    <w:tblPr>
      <w:tblCellMar>
        <w:top w:w="80" w:type="dxa"/>
        <w:left w:w="80" w:type="dxa"/>
        <w:right w:w="80" w:type="dxa"/>
        <w:bottom w:w="80" w:type="dxa"/>
      </w:tblCellMar>
      <w:tblBorders>
        <w:top w:val="single" w:sz="6" w:color="006699"/>
        <w:left w:val="single" w:sz="6" w:color="006699"/>
        <w:right w:val="single" w:sz="6" w:color="006699"/>
        <w:bottom w:val="single" w:sz="6" w:color="006699"/>
        <w:insideH w:val="single" w:sz="6" w:color="006699"/>
        <w:insideV w:val="single" w:sz="6" w:color="006699"/>
      </w:tblBorders>
    </w:tblPr>
  </w:style>
  <w:style w:type="paragraph" w:customStyle="1" w:styleId="tc_align">
    <w:name w:val="tc_align"/>
    <w:pPr>
      <w:jc w:val="center"/>
    </w:pPr>
  </w:style>
  <w:style w:type="paragraph" w:customStyle="1" w:styleId="eq_left">
    <w:name w:val="eq_left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image" Target="media/section_image1.png"/>
  <Relationship Id="rId8" Type="http://schemas.openxmlformats.org/officeDocument/2006/relationships/hyperlink" Target="https://axd.semestr.ru/econ/lorenc.php" TargetMode="External"/>
  <Relationship Id="rId9" Type="http://schemas.openxmlformats.org/officeDocument/2006/relationships/hyperlink" Target="https://axd.semestr.ru/econ/sns.php" TargetMode="External"/>
  <Relationship Id="rId10" Type="http://schemas.openxmlformats.org/officeDocument/2006/relationships/hyperlink" Target="https://axd.semestr.ru/econ/vvp.php" TargetMode="External"/>
  <Relationship Id="rId11" Type="http://schemas.openxmlformats.org/officeDocument/2006/relationships/hyperlink" Target="https://axd.semestr.ru/econ/aggregator.php" TargetMode="External"/>
  <Relationship Id="rId12" Type="http://schemas.openxmlformats.org/officeDocument/2006/relationships/hyperlink" Target="https://axd.semestr.ru/econ/hirschman.php" TargetMode="Externa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>ООО Новый семестр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 Новый семестр</dc:creator>
  <cp:lastModifiedBy>ООО Новый семестр</cp:lastModifiedBy>
  <dcterms:created xsi:type="dcterms:W3CDTF">2024-02-15T11:15:00+03:00</dcterms:created>
  <dcterms:modified xsi:type="dcterms:W3CDTF">2024-02-15T11:15:00+03:00</dcterms:modified>
  <dc:title>Кривая Лоренца</dc:title>
  <dc:description>https://axd.semestr.ru/econ/lorenc.php</dc:description>
  <dc:subject>Кривая Лоренца</dc:subject>
  <cp:keywords>Индекс Джинни,Кривая Лоренца,Децильный коэффициент дифференциации доходов</cp:keywords>
  <cp:category>Кривая Лоренца</cp:category>
</cp:coreProperties>
</file>