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  <w:jc w:val="center"/>
      </w:tblPr>
      <w:tr>
        <w:tc>
          <w:tcPr>
            <w:tcW w:w="4400" w:type="dxa"/>
            <w:gridSpan w:val="2"/>
          </w:tcPr>
          <w:p>
            <w:r>
              <w:t xml:space="preserve">Продано продукции</w:t>
            </w:r>
          </w:p>
        </w:tc>
        <w:tc>
          <w:tcPr>
            <w:tcW w:w="4400" w:type="dxa"/>
            <w:gridSpan w:val="2"/>
          </w:tcPr>
          <w:p>
            <w:r>
              <w:t xml:space="preserve">Цена</w:t>
            </w:r>
          </w:p>
        </w:tc>
      </w:tr>
      <w:tr>
        <w:tc>
          <w:tcPr>
            <w:tcW w:w="2200" w:type="dxa"/>
          </w:tcPr>
          <w:p>
            <w:r>
              <w:t xml:space="preserve">базисный период</w:t>
            </w:r>
          </w:p>
        </w:tc>
        <w:tc>
          <w:tcPr>
            <w:tcW w:w="2200" w:type="dxa"/>
          </w:tcPr>
          <w:p>
            <w:r>
              <w:t xml:space="preserve">отчетный период</w:t>
            </w:r>
          </w:p>
        </w:tc>
        <w:tc>
          <w:tcPr>
            <w:tcW w:w="2200" w:type="dxa"/>
          </w:tcPr>
          <w:p>
            <w:r>
              <w:t xml:space="preserve">базисный период</w:t>
            </w:r>
          </w:p>
        </w:tc>
        <w:tc>
          <w:tcPr>
            <w:tcW w:w="2200" w:type="dxa"/>
          </w:tcPr>
          <w:p>
            <w:r>
              <w:t xml:space="preserve">отчетный период</w:t>
            </w:r>
          </w:p>
        </w:tc>
      </w:tr>
      <w:tr>
        <w:tc>
          <w:tcPr>
            <w:tcW w:w="2200" w:type="dxa"/>
          </w:tcPr>
          <w:p>
            <w:r>
              <w:t xml:space="preserve">100</w:t>
            </w:r>
          </w:p>
        </w:tc>
        <w:tc>
          <w:tcPr>
            <w:tcW w:w="2200" w:type="dxa"/>
          </w:tcPr>
          <w:p>
            <w:r>
              <w:t xml:space="preserve">150</w:t>
            </w:r>
          </w:p>
        </w:tc>
        <w:tc>
          <w:tcPr>
            <w:tcW w:w="2200" w:type="dxa"/>
          </w:tcPr>
          <w:p>
            <w:r>
              <w:t xml:space="preserve">50</w:t>
            </w:r>
          </w:p>
        </w:tc>
        <w:tc>
          <w:tcPr>
            <w:tcW w:w="2200" w:type="dxa"/>
          </w:tcPr>
          <w:p>
            <w:r>
              <w:t xml:space="preserve">45</w:t>
            </w:r>
          </w:p>
        </w:tc>
      </w:tr>
      <w:tr>
        <w:tc>
          <w:tcPr>
            <w:tcW w:w="2200" w:type="dxa"/>
          </w:tcPr>
          <w:p>
            <w:r>
              <w:t xml:space="preserve">150</w:t>
            </w:r>
          </w:p>
        </w:tc>
        <w:tc>
          <w:tcPr>
            <w:tcW w:w="2200" w:type="dxa"/>
          </w:tcPr>
          <w:p>
            <w:r>
              <w:t xml:space="preserve">300</w:t>
            </w:r>
          </w:p>
        </w:tc>
        <w:tc>
          <w:tcPr>
            <w:tcW w:w="2200" w:type="dxa"/>
          </w:tcPr>
          <w:p>
            <w:r>
              <w:t xml:space="preserve">40</w:t>
            </w:r>
          </w:p>
        </w:tc>
        <w:tc>
          <w:tcPr>
            <w:tcW w:w="2200" w:type="dxa"/>
          </w:tcPr>
          <w:p>
            <w:r>
              <w:t xml:space="preserve">30</w:t>
            </w:r>
          </w:p>
        </w:tc>
      </w:tr>
    </w:tbl>
    <w:p>
      <w:pPr>
        <w:pStyle w:val="pStyle"/>
      </w:pPr>
      <w:r>
        <w:rPr>
          <w:b/>
        </w:rPr>
        <w:t>а) индекс цен переменного состава</w:t>
      </w:r>
    </w:p>
    <w:p>
      <w:pPr>
        <w:pStyle w:val="pStyle"/>
      </w:pPr>
      <w:r>
        <w:t xml:space="preserve">Рассчитаем средние цены за каждый период:</w:t>
      </w:r>
    </w:p>
    <w:p>
      <w:pPr>
        <w:pStyle w:val="pStyle"/>
      </w:pPr>
      <w:r>
        <w:t xml:space="preserve">Средняя цена за отчетный период</w:t>
      </w:r>
    </w:p>
    <w:p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150∙45+300∙30</m:t>
              </m:r>
            </m:num>
            <m:den>
              <m:r>
                <m:t>150 + 300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15750</m:t>
              </m:r>
            </m:num>
            <m:den>
              <m:r>
                <m:t>450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35</m:t>
          </m:r>
        </m:oMath>
      </m:oMathPara>
    </w:p>
    <w:p>
      <w:pPr>
        <w:pStyle w:val="pStyle"/>
      </w:pPr>
      <w:r>
        <w:t xml:space="preserve">Средняя цена за базисный период</w:t>
      </w:r>
    </w:p>
    <w:p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100∙50+150∙40</m:t>
              </m:r>
            </m:num>
            <m:den>
              <m:r>
                <m:t>100 + 150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11000</m:t>
              </m:r>
            </m:num>
            <m:den>
              <m:r>
                <m:t>250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44</m:t>
          </m:r>
        </m:oMath>
      </m:oMathPara>
    </w:p>
    <w:p>
      <w:pPr>
        <w:pStyle w:val="pStyle"/>
      </w:pPr>
      <w:r>
        <w:t xml:space="preserve">Соответственно, индекс цен переменного состава (индекс средних величин) будет представлять собой отношение:</w:t>
      </w:r>
    </w:p>
    <w:p>
      <m:oMathPara>
        <m:oMath>
          <m:sSub>
            <m:e>
              <m:r>
                <m:t>I</m:t>
              </m:r>
            </m:e>
            <m:sub>
              <m:r>
                <m:t>n.c.</m:t>
              </m:r>
            </m:sub>
          </m:sSub>
          <m:r>
            <m:t>=</m:t>
          </m:r>
        </m:oMath>
      </m:oMathPara>
      <m:oMathPara>
        <m:oMath>
          <m:f>
            <m:num>
              <m:r>
                <m:t>35</m:t>
              </m:r>
            </m:num>
            <m:den>
              <m:r>
                <m:t>44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0.7955</m:t>
          </m:r>
        </m:oMath>
      </m:oMathPara>
    </w:p>
    <w:p>
      <w:pPr>
        <w:pStyle w:val="pStyle"/>
      </w:pPr>
      <w:r>
        <w:t xml:space="preserve">За счет всех факторов цена снизилась на 20.45%</w:t>
      </w:r>
    </w:p>
    <w:p>
      <w:pPr>
        <w:pStyle w:val="pStyle"/>
      </w:pPr>
      <w:r>
        <w:rPr>
          <w:b/>
        </w:rPr>
        <w:t>б) индекс цен фиксированного (постоянного) состава</w:t>
      </w:r>
    </w:p>
    <w:p>
      <m:oMathPara>
        <m:oMath>
          <m:sSub>
            <m:e>
              <m:r>
                <m:t>I</m:t>
              </m:r>
            </m:e>
            <m:sub>
              <m:r>
                <m:t>ф.с.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ф.с.</m:t>
              </m:r>
            </m:sub>
          </m:sSub>
          <m:r>
            <m:t>=</m:t>
          </m:r>
        </m:oMath>
      </m:oMathPara>
      <m:oMathPara>
        <m:oMath>
          <m:f>
            <m:num>
              <m:r>
                <m:t>150∙45+300∙30</m:t>
              </m:r>
            </m:num>
            <m:den>
              <m:r>
                <m:t>150∙50+300∙40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15750</m:t>
              </m:r>
            </m:num>
            <m:den>
              <m:r>
                <m:t>19500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0.8077</m:t>
          </m:r>
        </m:oMath>
      </m:oMathPara>
    </w:p>
    <w:p>
      <w:pPr>
        <w:pStyle w:val="pStyle"/>
      </w:pPr>
      <w:r>
        <w:t xml:space="preserve">За счет изменения структуры цены, средняя цена снизилась на 19.2%.</w:t>
      </w:r>
    </w:p>
    <w:p>
      <w:pPr>
        <w:pStyle w:val="pStyle"/>
      </w:pPr>
      <w:r>
        <w:rPr>
          <w:b/>
        </w:rPr>
        <w:t>в) индекс влияния изменения структуры продаж на динамику средней цены.</w:t>
      </w:r>
    </w:p>
    <w:p>
      <m:oMathPara>
        <m:oMath>
          <m:r>
            <m:t>I_{c.c.}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  <m:oMathPara>
        <m:oMath>
          <m:r>
            <m:t>: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I_{c.c.}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19500</m:t>
              </m:r>
            </m:num>
            <m:den>
              <m:r>
                <m:t>450</m:t>
              </m:r>
            </m:den>
          </m:f>
        </m:oMath>
      </m:oMathPara>
      <m:oMathPara>
        <m:oMath>
          <m:r>
            <m:t>:</m:t>
          </m:r>
        </m:oMath>
      </m:oMathPara>
      <m:oMathPara>
        <m:oMath>
          <m:f>
            <m:num>
              <m:r>
                <m:t>11000</m:t>
              </m:r>
            </m:num>
            <m:den>
              <m:r>
                <m:t>250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0.9848</m:t>
          </m:r>
        </m:oMath>
      </m:oMathPara>
    </w:p>
    <w:p>
      <w:pPr>
        <w:pStyle w:val="pStyle"/>
      </w:pPr>
      <w:r>
        <w:t xml:space="preserve">Индекс структурных сдвигов равен отношению индекса переменного состава и индекса фиксированного состава, т.е.:</w:t>
      </w:r>
    </w:p>
    <w:p>
      <m:oMathPara>
        <m:oMath>
          <m:sSub>
            <m:e>
              <m:r>
                <m:t>I</m:t>
              </m:r>
            </m:e>
            <m:sub>
              <m:r>
                <m:t>c.c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I</m:t>
                  </m:r>
                </m:e>
                <m:sub>
                  <m:r>
                    <m:t>n.c</m:t>
                  </m:r>
                </m:sub>
              </m:sSub>
            </m:num>
            <m:den>
              <m:sSub>
                <m:e>
                  <m:r>
                    <m:t>I</m:t>
                  </m:r>
                </m:e>
                <m:sub>
                  <m:r>
                    <m:t>ф.c</m:t>
                  </m:r>
                </m:sub>
              </m:sSub>
            </m:den>
          </m:f>
        </m:oMath>
      </m:oMathPara>
    </w:p>
    <w:p>
      <m:oMathPara>
        <m:oMath>
          <m:sSub>
            <m:e>
              <m:r>
                <m:t>I</m:t>
              </m:r>
            </m:e>
            <m:sub>
              <m:r>
                <m:t>c.c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0.7955</m:t>
              </m:r>
            </m:num>
            <m:den>
              <m:r>
                <m:t>0.8077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0.9848</m:t>
          </m:r>
        </m:oMath>
      </m:oMathPara>
    </w:p>
    <w:p>
      <w:pPr>
        <w:pStyle w:val="pStyle"/>
      </w:pPr>
      <w:r>
        <w:t xml:space="preserve">За счет изменения структуры продаж, средняя цена снизилась на 1.5%.</w:t>
      </w:r>
    </w:p>
    <w:p>
      <w:pPr>
        <w:pStyle w:val="pStyle"/>
      </w:pPr>
      <w:r>
        <w:t xml:space="preserve">Кроме этих трех индексов для однородной совокупности может быть рассчитан </w:t>
      </w:r>
      <w:r>
        <w:rPr>
          <w:b/>
        </w:rPr>
        <w:t>общий индекс физического объема:</w:t>
      </w:r>
    </w:p>
    <w:p>
      <m:oMathPara>
        <m:oMath>
          <m:sSub>
            <m:e>
              <m:r>
                <m:t>I</m:t>
              </m:r>
            </m:e>
            <m:sub>
              <m:r>
                <m:t>q</m:t>
              </m:r>
            </m:sub>
          </m:sSub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I_{q}</m:t>
          </m: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150 + 300</m:t>
              </m:r>
            </m:num>
            <m:den>
              <m:r>
                <m:t>100 + 150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450</m:t>
              </m:r>
            </m:num>
            <m:den>
              <m:r>
                <m:t>250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1.8</m:t>
          </m:r>
        </m:oMath>
      </m:oMathPara>
    </w:p>
    <w:p>
      <w:pPr>
        <w:pStyle w:val="pStyle"/>
      </w:pPr>
      <w:r>
        <w:rPr>
          <w:b/>
        </w:rPr>
        <w:t>Общий индекс стоимости равен:</w:t>
      </w:r>
    </w:p>
    <w:p>
      <w:pPr>
        <w:pStyle w:val="pStyle"/>
      </w:pPr>
      <w:r>
        <w:t xml:space="preserve">I</w:t>
      </w:r>
      <w:r>
        <w:rPr>
          <w:vertAlign w:val="subscript"/>
        </w:rPr>
        <w:t>Q</w:t>
      </w:r>
      <w:r>
        <w:t xml:space="preserve"> = I</w:t>
      </w:r>
      <w:r>
        <w:rPr>
          <w:vertAlign w:val="subscript"/>
        </w:rPr>
        <w:t>п.c.</w:t>
      </w:r>
      <w:r>
        <w:t xml:space="preserve"> x I</w:t>
      </w:r>
      <w:r>
        <w:rPr>
          <w:vertAlign w:val="subscript"/>
        </w:rPr>
        <w:t>q</w:t>
      </w:r>
      <w:r>
        <w:t xml:space="preserve"> = 0.7955 x 1.8 = 1.432</w:t>
      </w:r>
    </w:p>
    <w:p>
      <w:pPr>
        <w:pStyle w:val="pStyle"/>
      </w:pPr>
      <w:r>
        <w:t xml:space="preserve">Рассмотрим </w:t>
      </w:r>
      <w:r>
        <w:rPr>
          <w:b/>
        </w:rPr>
        <w:t>разложение по факторам абсолютного изменения качественного показателя в однородной совокупности</w:t>
      </w:r>
      <w:r>
        <w:t xml:space="preserve">.</w:t>
      </w:r>
    </w:p>
    <w:p>
      <w:pPr>
        <w:pStyle w:val="pStyle"/>
      </w:pPr>
      <w:r>
        <w:t xml:space="preserve">Абсолютный прирост средних цен по всем группам будет рассчитываться следующим образом:</w:t>
      </w:r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r>
                <m:t>p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</m:e>
          </m:bar>
          <m:r>
            <m:t>-</m:t>
          </m:r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0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35-44</m:t>
          </m:r>
        </m:oMath>
      </m:oMathPara>
      <m:oMathPara>
        <m:oMath>
          <m:r>
            <m:t>=</m:t>
          </m:r>
        </m:oMath>
      </m:oMathPara>
      <m:oMathPara>
        <m:oMath>
          <m:r>
            <m:t>-9</m:t>
          </m:r>
        </m:oMath>
      </m:oMathPara>
    </w:p>
    <w:p>
      <w:pPr>
        <w:pStyle w:val="pStyle"/>
      </w:pPr>
      <w:r>
        <w:t xml:space="preserve">Изменение средней цены по всем группам только за счет изменения средней цены будет рассчитываться по формуле:</w:t>
      </w:r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p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  <m:r>
            <m:t>-</m:t>
          </m:r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p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35-43.33</m:t>
          </m:r>
        </m:oMath>
      </m:oMathPara>
      <m:oMathPara>
        <m:oMath>
          <m:r>
            <m:t>=</m:t>
          </m:r>
        </m:oMath>
      </m:oMathPara>
      <m:oMathPara>
        <m:oMath>
          <m:r>
            <m:t>-8.33</m:t>
          </m:r>
        </m:oMath>
      </m:oMathPara>
    </w:p>
    <w:p>
      <w:pPr>
        <w:pStyle w:val="pStyle"/>
      </w:pPr>
      <w:r>
        <w:t xml:space="preserve">Аналогичные рассуждения проводятся и для расчета изменения средней цены по всем группам только за счет изменения структуры физического объема:</w:t>
      </w:r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q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1</m:t>
                      </m:r>
                    </m:sub>
                  </m:sSub>
                </m:e>
              </m:nary>
            </m:den>
          </m:f>
          <m:r>
            <m:t>-</m:t>
          </m:r>
          <m:f>
            <m:num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∙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/>
                  </m:ctrlPr>
                </m:naryPr>
                <m:sub>
                  <m:r>
                    <m:t>i=1</m:t>
                  </m:r>
                </m:sub>
                <m:sup>
                  <m:r>
                    <m:t>n</m:t>
                  </m:r>
                </m:sup>
                <m:e>
                  <m:sSub>
                    <m:e>
                      <m:r>
                        <m:t>q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nary>
            </m:den>
          </m:f>
        </m:oMath>
      </m:oMathPara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q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43.33-44</m:t>
          </m:r>
        </m:oMath>
      </m:oMathPara>
      <m:oMathPara>
        <m:oMath>
          <m:r>
            <m:t>=</m:t>
          </m:r>
        </m:oMath>
      </m:oMathPara>
      <m:oMathPara>
        <m:oMath>
          <m:r>
            <m:t>-0.67</m:t>
          </m:r>
        </m:oMath>
      </m:oMathPara>
    </w:p>
    <w:p>
      <w:pPr>
        <w:pStyle w:val="pStyle"/>
      </w:pPr>
      <w:r>
        <w:t xml:space="preserve">Очевидно, что общий абсолютный прирост средних цен по всем группам равен сумме факторных изменений:</w:t>
      </w:r>
    </w:p>
    <w:p>
      <m:oMathPara>
        <m:oMath>
          <m:r>
            <m:t>∆</m:t>
          </m:r>
        </m:oMath>
      </m:oMathPara>
      <m:oMathPara>
        <m:oMath>
          <m:bar>
            <m:barPr>
              <m:pos m:val="top"/>
            </m:barPr>
            <m:e>
              <m:r>
                <m:t>p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∆</m:t>
          </m:r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p</m:t>
                  </m:r>
                </m:sub>
              </m:sSub>
            </m:e>
          </m:bar>
          <m:r>
            <m:t>+</m:t>
          </m:r>
          <m:r>
            <m:t>∆</m:t>
          </m:r>
          <m:bar>
            <m:barPr>
              <m:pos m:val="top"/>
            </m:barPr>
            <m:e>
              <m:sSub>
                <m:e>
                  <m:r>
                    <m:t>p</m:t>
                  </m:r>
                </m:e>
                <m:sub>
                  <m:r>
                    <m:t>q</m:t>
                  </m:r>
                </m:sub>
              </m:sSub>
            </m:e>
          </m:bar>
        </m:oMath>
      </m:oMathPara>
      <m:oMathPara>
        <m:oMath>
          <m:r>
            <m:t>=</m:t>
          </m:r>
        </m:oMath>
      </m:oMathPara>
      <m:oMathPara>
        <m:oMath>
          <m:r>
            <m:t>-8.33-0.67</m:t>
          </m:r>
        </m:oMath>
      </m:oMathPara>
      <m:oMathPara>
        <m:oMath>
          <m:r>
            <m:t>=</m:t>
          </m:r>
        </m:oMath>
      </m:oMathPara>
      <m:oMathPara>
        <m:oMath>
          <m:r>
            <m:t>-9</m:t>
          </m:r>
        </m:oMath>
      </m:oMathPara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Индекс цен переменного состава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Агрегатные индексы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Показатели рядов динамики (цепные, базисные, средние)</w:t>
        </w:r>
      </w:hyperlink>
    </w:p>
    <w:p>
      <w:hyperlink r:id="rId10" w:history="1">
        <w:r>
          <w:rPr>
            <w:color w:val="0000FF"/>
            <w:u w:val="single"/>
          </w:rPr>
          <w:t xml:space="preserve">Общий индекс затрат на производство</w:t>
        </w:r>
      </w:hyperlink>
    </w:p>
    <w:p>
      <w:hyperlink r:id="rId11" w:history="1">
        <w:r>
          <w:rPr>
            <w:color w:val="0000FF"/>
            <w:u w:val="single"/>
          </w:rPr>
          <w:t xml:space="preserve">Выявление тренда методом аналитического выравнивания</w:t>
        </w:r>
      </w:hyperlink>
    </w:p>
    <w:p>
      <w:hyperlink r:id="rId12" w:history="1">
        <w:r>
          <w:rPr>
            <w:color w:val="0000FF"/>
            <w:u w:val="single"/>
          </w:rPr>
          <w:t xml:space="preserve">Показатели вариации: средняя взвешенная, дисперсия, среднеквадратическое отклонение, мода, медиана, размах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index/ind.php" TargetMode="External"/>
  <Relationship Id="rId8" Type="http://schemas.openxmlformats.org/officeDocument/2006/relationships/hyperlink" Target="https://www.semestr.ru/economic/ks226.php" TargetMode="External"/>
  <Relationship Id="rId9" Type="http://schemas.openxmlformats.org/officeDocument/2006/relationships/hyperlink" Target="https://axd.semestr.ru/dinam/group.php" TargetMode="External"/>
  <Relationship Id="rId10" Type="http://schemas.openxmlformats.org/officeDocument/2006/relationships/hyperlink" Target="https://axd.semestr.ru/index/index.php" TargetMode="External"/>
  <Relationship Id="rId11" Type="http://schemas.openxmlformats.org/officeDocument/2006/relationships/hyperlink" Target="https://math.semestr.ru/trend/analis.php" TargetMode="External"/>
  <Relationship Id="rId12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2024-09-09T17:39:00+03:00</dcterms:created>
  <dcterms:modified xsi:type="dcterms:W3CDTF">2024-09-09T17:39:00+03:00</dcterms:modified>
  <dc:title>Индекс цен переменного состава</dc:title>
  <dc:description>https://axd.semestr.ru/index/ind.php</dc:description>
  <dc:subject>Индекс цен переменного состава</dc:subject>
  <cp:keywords>агрегатные индексы,индекс переменного состава,индекс постоянного состава,индекс структурных сдвигов</cp:keywords>
  <cp:category>Индекс цен переменного состава</cp:category>
</cp:coreProperties>
</file>