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  <w:jc w:val="center"/>
      </w:tblPr>
      <w:tr>
        <w:tc>
          <w:tcPr>
            <w:tcW w:w="3200" w:type="dxa"/>
            <w:gridSpan w:val="2"/>
          </w:tcPr>
          <w:p>
            <w:r>
              <w:t xml:space="preserve">Продано продукции</w:t>
            </w:r>
          </w:p>
        </w:tc>
        <w:tc>
          <w:tcPr>
            <w:tcW w:w="3200" w:type="dxa"/>
            <w:gridSpan w:val="2"/>
          </w:tcPr>
          <w:p>
            <w:r>
              <w:t xml:space="preserve">Цена</w:t>
            </w:r>
          </w:p>
        </w:tc>
      </w:tr>
      <w:tr>
        <w:tc>
          <w:tcPr>
            <w:tcW w:w="1600" w:type="dxa"/>
          </w:tcPr>
          <w:p>
            <w:r>
              <w:t xml:space="preserve">базисный период</w:t>
            </w:r>
          </w:p>
        </w:tc>
        <w:tc>
          <w:tcPr>
            <w:tcW w:w="1600" w:type="dxa"/>
          </w:tcPr>
          <w:p>
            <w:r>
              <w:t xml:space="preserve">отчетный период</w:t>
            </w:r>
          </w:p>
        </w:tc>
        <w:tc>
          <w:tcPr>
            <w:tcW w:w="1600" w:type="dxa"/>
          </w:tcPr>
          <w:p>
            <w:r>
              <w:t xml:space="preserve">базисный период</w:t>
            </w:r>
          </w:p>
        </w:tc>
        <w:tc>
          <w:tcPr>
            <w:tcW w:w="1600" w:type="dxa"/>
          </w:tcPr>
          <w:p>
            <w:r>
              <w:t xml:space="preserve">отчетный период</w:t>
            </w:r>
          </w:p>
        </w:tc>
      </w:tr>
      <w:tr>
        <w:tc>
          <w:tcPr>
            <w:tcW w:w="1600" w:type="dxa"/>
          </w:tcPr>
          <w:p>
            <w:r>
              <w:t xml:space="preserve">35</w:t>
            </w:r>
          </w:p>
        </w:tc>
        <w:tc>
          <w:tcPr>
            <w:tcW w:w="1600" w:type="dxa"/>
          </w:tcPr>
          <w:p>
            <w:r>
              <w:t xml:space="preserve">33</w:t>
            </w:r>
          </w:p>
        </w:tc>
        <w:tc>
          <w:tcPr>
            <w:tcW w:w="1600" w:type="dxa"/>
          </w:tcPr>
          <w:p>
            <w:r>
              <w:t xml:space="preserve">55</w:t>
            </w:r>
          </w:p>
        </w:tc>
        <w:tc>
          <w:tcPr>
            <w:tcW w:w="1600" w:type="dxa"/>
          </w:tcPr>
          <w:p>
            <w:r>
              <w:t xml:space="preserve">60</w:t>
            </w:r>
          </w:p>
        </w:tc>
      </w:tr>
      <w:tr>
        <w:tc>
          <w:tcPr>
            <w:tcW w:w="1600" w:type="dxa"/>
          </w:tcPr>
          <w:p>
            <w:r>
              <w:t xml:space="preserve">37</w:t>
            </w:r>
          </w:p>
        </w:tc>
        <w:tc>
          <w:tcPr>
            <w:tcW w:w="1600" w:type="dxa"/>
          </w:tcPr>
          <w:p>
            <w:r>
              <w:t xml:space="preserve">30</w:t>
            </w:r>
          </w:p>
        </w:tc>
        <w:tc>
          <w:tcPr>
            <w:tcW w:w="1600" w:type="dxa"/>
          </w:tcPr>
          <w:p>
            <w:r>
              <w:t xml:space="preserve">53</w:t>
            </w:r>
          </w:p>
        </w:tc>
        <w:tc>
          <w:tcPr>
            <w:tcW w:w="1600" w:type="dxa"/>
          </w:tcPr>
          <w:p>
            <w:r>
              <w:t xml:space="preserve">57</w:t>
            </w:r>
          </w:p>
        </w:tc>
      </w:tr>
    </w:tbl>
    <w:p>
      <w:pPr>
        <w:pStyle w:val="pStyle"/>
      </w:pPr>
      <w:r>
        <w:t xml:space="preserve">Индивидуальные индексы.</w:t>
      </w:r>
    </w:p>
    <w:p>
      <w:pPr>
        <w:pStyle w:val="pStyle"/>
      </w:pPr>
      <w:r>
        <w:t xml:space="preserve">Для расчета индивидуальных индексов цен необходимо цену за 1 ед. каждого вида продукции отчетного периода отнести к цене этой же продукции базисного периода.</w:t>
      </w:r>
    </w:p>
    <w:p>
      <m:oMathPara>
        <m:oMath>
          <m:sSub>
            <m:e>
              <m:r>
                <m:t>i</m:t>
              </m:r>
            </m:e>
            <m:sub>
              <m:r>
                <m:t>p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60</m:t>
              </m:r>
            </m:num>
            <m:den>
              <m:r>
                <m:t>55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1.091</m:t>
          </m:r>
        </m:oMath>
      </m:oMathPara>
    </w:p>
    <w:p>
      <w:pPr>
        <w:pStyle w:val="pStyle"/>
      </w:pPr>
      <w:r>
        <w:t xml:space="preserve">Это означает, что цена возросла на 9.1% (109.1 – 100).</w:t>
      </w:r>
    </w:p>
    <w:p>
      <m:oMathPara>
        <m:oMath>
          <m:sSub>
            <m:e>
              <m:r>
                <m:t>i</m:t>
              </m:r>
            </m:e>
            <m:sub>
              <m:r>
                <m:t>q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33</m:t>
              </m:r>
            </m:num>
            <m:den>
              <m:r>
                <m:t>35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0.943</m:t>
          </m:r>
        </m:oMath>
      </m:oMathPara>
    </w:p>
    <w:p>
      <w:pPr>
        <w:pStyle w:val="pStyle"/>
      </w:pPr>
      <w:r>
        <w:t xml:space="preserve">Спад физического объема составил 5.7% (100 – 94.3).</w:t>
      </w:r>
    </w:p>
    <w:p>
      <w:pPr>
        <w:pStyle w:val="pStyle"/>
      </w:pPr>
      <w:r>
        <w:t xml:space="preserve">i</w:t>
      </w:r>
      <w:r>
        <w:rPr>
          <w:vertAlign w:val="subscript"/>
        </w:rPr>
        <w:t>pq</w:t>
      </w:r>
      <w:r>
        <w:t xml:space="preserve">=1.091∙0.943=1.029</w:t>
      </w:r>
    </w:p>
    <w:p>
      <w:pPr>
        <w:pStyle w:val="pStyle"/>
      </w:pPr>
      <w:r>
        <w:t xml:space="preserve">Т.е. стоимость товарооборота выросла на 2.9% (102.9 - 100).</w:t>
      </w:r>
    </w:p>
    <w:p>
      <m:oMathPara>
        <m:oMath>
          <m:sSub>
            <m:e>
              <m:r>
                <m:t>i</m:t>
              </m:r>
            </m:e>
            <m:sub>
              <m:r>
                <m:t>p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57</m:t>
              </m:r>
            </m:num>
            <m:den>
              <m:r>
                <m:t>53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1.075</m:t>
          </m:r>
        </m:oMath>
      </m:oMathPara>
    </w:p>
    <w:p>
      <w:pPr>
        <w:pStyle w:val="pStyle"/>
      </w:pPr>
      <w:r>
        <w:t xml:space="preserve">Это означает, что цена возросла на 7.5% (107.5 – 100).</w:t>
      </w:r>
    </w:p>
    <w:p>
      <m:oMathPara>
        <m:oMath>
          <m:sSub>
            <m:e>
              <m:r>
                <m:t>i</m:t>
              </m:r>
            </m:e>
            <m:sub>
              <m:r>
                <m:t>q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30</m:t>
              </m:r>
            </m:num>
            <m:den>
              <m:r>
                <m:t>37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0.811</m:t>
          </m:r>
        </m:oMath>
      </m:oMathPara>
    </w:p>
    <w:p>
      <w:pPr>
        <w:pStyle w:val="pStyle"/>
      </w:pPr>
      <w:r>
        <w:t xml:space="preserve">Спад физического объема составил 18.9% (100 – 81.1).</w:t>
      </w:r>
    </w:p>
    <w:p>
      <w:pPr>
        <w:pStyle w:val="pStyle"/>
      </w:pPr>
      <w:r>
        <w:t xml:space="preserve">i</w:t>
      </w:r>
      <w:r>
        <w:rPr>
          <w:vertAlign w:val="subscript"/>
        </w:rPr>
        <w:t>pq</w:t>
      </w:r>
      <w:r>
        <w:t xml:space="preserve">=1.075∙0.811=0.872</w:t>
      </w:r>
    </w:p>
    <w:p>
      <w:pPr>
        <w:pStyle w:val="pStyle"/>
      </w:pPr>
      <w:r>
        <w:t xml:space="preserve">Т.е. стоимость товарооборота снизилась на 12.8% (100 – 87.2).</w:t>
      </w:r>
    </w:p>
    <w:tbl>
      <w:tblPr>
        <w:tblStyle w:val="myOwnTableStyle"/>
        <w:jc w:val="center"/>
      </w:tblPr>
      <w:tr>
        <w:tc>
          <w:tcPr>
            <w:tcW w:w="2200" w:type="dxa"/>
          </w:tcPr>
          <w:p>
            <w:r>
              <w:t xml:space="preserve">Вид продукции</w:t>
            </w:r>
          </w:p>
        </w:tc>
        <w:tc>
          <w:tcPr>
            <w:tcW w:w="2200" w:type="dxa"/>
          </w:tcPr>
          <w:p>
            <w:r>
              <w:t xml:space="preserve">i</w:t>
            </w:r>
            <w:r>
              <w:rPr>
                <w:vertAlign w:val="subscript"/>
              </w:rPr>
              <w:t>q</w:t>
            </w:r>
          </w:p>
        </w:tc>
        <w:tc>
          <w:tcPr>
            <w:tcW w:w="2200" w:type="dxa"/>
          </w:tcPr>
          <w:p>
            <w:r>
              <w:t xml:space="preserve">i</w:t>
            </w:r>
            <w:r>
              <w:rPr>
                <w:vertAlign w:val="subscript"/>
              </w:rPr>
              <w:t>p</w:t>
            </w:r>
          </w:p>
        </w:tc>
        <w:tc>
          <w:tcPr>
            <w:tcW w:w="2200" w:type="dxa"/>
          </w:tcPr>
          <w:p>
            <w:r>
              <w:t xml:space="preserve">i</w:t>
            </w:r>
            <w:r>
              <w:rPr>
                <w:vertAlign w:val="subscript"/>
              </w:rPr>
              <w:t>T</w:t>
            </w:r>
          </w:p>
        </w:tc>
      </w:tr>
      <w:tr>
        <w:tc>
          <w:tcPr>
            <w:tcW w:w="2200" w:type="dxa"/>
          </w:tcPr>
          <w:p>
            <w:r>
              <w:t xml:space="preserve">1</w:t>
            </w:r>
          </w:p>
        </w:tc>
        <w:tc>
          <w:tcPr>
            <w:tcW w:w="2200" w:type="dxa"/>
          </w:tcPr>
          <w:p>
            <w:r>
              <w:t xml:space="preserve">0.943</w:t>
            </w:r>
          </w:p>
        </w:tc>
        <w:tc>
          <w:tcPr>
            <w:tcW w:w="2200" w:type="dxa"/>
          </w:tcPr>
          <w:p>
            <w:r>
              <w:t xml:space="preserve">1.091</w:t>
            </w:r>
          </w:p>
        </w:tc>
        <w:tc>
          <w:tcPr>
            <w:tcW w:w="2200" w:type="dxa"/>
          </w:tcPr>
          <w:p>
            <w:r>
              <w:t xml:space="preserve">1.029</w:t>
            </w:r>
          </w:p>
        </w:tc>
      </w:tr>
      <w:tr>
        <w:tc>
          <w:tcPr>
            <w:tcW w:w="2200" w:type="dxa"/>
          </w:tcPr>
          <w:p>
            <w:r>
              <w:t xml:space="preserve">2</w:t>
            </w:r>
          </w:p>
        </w:tc>
        <w:tc>
          <w:tcPr>
            <w:tcW w:w="2200" w:type="dxa"/>
          </w:tcPr>
          <w:p>
            <w:r>
              <w:t xml:space="preserve">0.811</w:t>
            </w:r>
          </w:p>
        </w:tc>
        <w:tc>
          <w:tcPr>
            <w:tcW w:w="2200" w:type="dxa"/>
          </w:tcPr>
          <w:p>
            <w:r>
              <w:t xml:space="preserve">1.075</w:t>
            </w:r>
          </w:p>
        </w:tc>
        <w:tc>
          <w:tcPr>
            <w:tcW w:w="2200" w:type="dxa"/>
          </w:tcPr>
          <w:p>
            <w:r>
              <w:t xml:space="preserve">0.872</w:t>
            </w:r>
          </w:p>
        </w:tc>
      </w:tr>
    </w:tbl>
    <w:p>
      <w:pPr>
        <w:pStyle w:val="pStyle"/>
      </w:pPr>
      <w:r>
        <w:t xml:space="preserve">а) общий индекс товарооборота</w:t>
      </w:r>
    </w:p>
    <w:p>
      <w:r>
        <w:t xml:space="preserve">
          <m:r>
            <m:t>I = 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∙p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∙p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I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33∙60 + 30∙57</m:t>
              </m:r>
            </m:num>
            <m:den>
              <m:r>
                <m:t>35∙55 + 37∙53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3690</m:t>
              </m:r>
            </m:num>
            <m:den>
              <m:r>
                <m:t>3886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0.95</m:t>
          </m:r>
        </m:oMath>
      </m:oMathPara>
    </w:p>
    <w:p>
      <w:pPr>
        <w:pStyle w:val="pStyle"/>
      </w:pPr>
      <w:r>
        <w:t xml:space="preserve">∆Z = ∑q</w:t>
      </w:r>
      <w:r>
        <w:rPr>
          <w:vertAlign w:val="subscript"/>
        </w:rPr>
        <w:t>1</w:t>
      </w:r>
      <w:r>
        <w:t xml:space="preserve">∙p</w:t>
      </w:r>
      <w:r>
        <w:rPr>
          <w:vertAlign w:val="subscript"/>
        </w:rPr>
        <w:t>1</w:t>
      </w:r>
      <w:r>
        <w:t xml:space="preserve"> - ∑q</w:t>
      </w:r>
      <w:r>
        <w:rPr>
          <w:vertAlign w:val="subscript"/>
        </w:rPr>
        <w:t>0</w:t>
      </w:r>
      <w:r>
        <w:t xml:space="preserve">∙p</w:t>
      </w:r>
      <w:r>
        <w:rPr>
          <w:vertAlign w:val="subscript"/>
        </w:rPr>
        <w:t>0</w:t>
      </w:r>
      <w:r>
        <w:t xml:space="preserve"> = 3690 - 3886 = 196</w:t>
      </w:r>
    </w:p>
    <w:p>
      <w:pPr>
        <w:pStyle w:val="pStyle"/>
      </w:pPr>
      <w:r>
        <w:t xml:space="preserve">За счет влияния всех факторов, общий товарооборот снизился на 5% или на 196.</w:t>
      </w:r>
    </w:p>
    <w:p>
      <w:pPr>
        <w:pStyle w:val="pStyle"/>
      </w:pPr>
      <w:r>
        <w:t xml:space="preserve">б) общий индекс цен (</w:t>
      </w:r>
      <w:r>
        <w:rPr>
          <w:i/>
          <w:iCs/>
        </w:rPr>
        <w:t>метод Пааше</w:t>
      </w:r>
      <w:r>
        <w:t xml:space="preserve">)</w:t>
      </w:r>
    </w:p>
    <w:p>
      <m:oMathPara>
        <m:oMath>
          <m:sSub>
            <m:e>
              <m:r>
                <m:t>I</m:t>
              </m:r>
            </m:e>
            <m:sub>
              <m:r>
                <m:t>p</m:t>
              </m:r>
            </m:sub>
          </m:sSub>
          <m:r>
            <m:t> = 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∙p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p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33∙60 + 30∙57</m:t>
              </m:r>
            </m:num>
            <m:den>
              <m:r>
                <m:t>33∙55 + 30∙53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3690</m:t>
              </m:r>
            </m:num>
            <m:den>
              <m:r>
                <m:t>3405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1.084</m:t>
          </m:r>
        </m:oMath>
      </m:oMathPara>
    </w:p>
    <w:p>
      <w:pPr>
        <w:pStyle w:val="pStyle"/>
      </w:pPr>
      <w:r>
        <w:t xml:space="preserve">∆Z</w:t>
      </w:r>
      <w:r>
        <w:rPr>
          <w:vertAlign w:val="subscript"/>
        </w:rPr>
        <w:t>p</w:t>
      </w:r>
      <w:r>
        <w:t xml:space="preserve"> = ∑q</w:t>
      </w:r>
      <w:r>
        <w:rPr>
          <w:vertAlign w:val="subscript"/>
        </w:rPr>
        <w:t>1</w:t>
      </w:r>
      <w:r>
        <w:t xml:space="preserve">∙p</w:t>
      </w:r>
      <w:r>
        <w:rPr>
          <w:vertAlign w:val="subscript"/>
        </w:rPr>
        <w:t>1</w:t>
      </w:r>
      <w:r>
        <w:t xml:space="preserve"> - ∑q</w:t>
      </w:r>
      <w:r>
        <w:rPr>
          <w:vertAlign w:val="subscript"/>
        </w:rPr>
        <w:t>1</w:t>
      </w:r>
      <w:r>
        <w:t xml:space="preserve">∙p</w:t>
      </w:r>
      <w:r>
        <w:rPr>
          <w:vertAlign w:val="subscript"/>
        </w:rPr>
        <w:t>0</w:t>
      </w:r>
      <w:r>
        <w:t xml:space="preserve"> = 3690 - 3405 = 285</w:t>
      </w:r>
    </w:p>
    <w:p>
      <w:pPr>
        <w:pStyle w:val="pStyle"/>
      </w:pPr>
      <w:r>
        <w:t xml:space="preserve">За счет изменения цен сводный товарооборот возрос на 8.4% или на 285.</w:t>
      </w:r>
    </w:p>
    <w:p>
      <w:pPr>
        <w:pStyle w:val="pStyle"/>
      </w:pPr>
      <w:r>
        <w:t xml:space="preserve">в) общий индекс физического объема продукции (</w:t>
      </w:r>
      <w:r>
        <w:rPr>
          <w:i/>
          <w:iCs/>
        </w:rPr>
        <w:t>индекс Ласпейреса</w:t>
      </w:r>
      <w:r>
        <w:t xml:space="preserve">)</w:t>
      </w:r>
    </w:p>
    <w:p>
      <m:oMathPara>
        <m:oMath>
          <m:sSub>
            <m:e>
              <m:r>
                <m:t>I</m:t>
              </m:r>
            </m:e>
            <m:sub>
              <m:r>
                <m:t>q</m:t>
              </m:r>
            </m:sub>
          </m:sSub>
          <m:r>
            <m:t> = 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∙p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∙p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q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33∙55 + 30∙53</m:t>
              </m:r>
            </m:num>
            <m:den>
              <m:r>
                <m:t>35∙55 + 37∙53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3405</m:t>
              </m:r>
            </m:num>
            <m:den>
              <m:r>
                <m:t>3886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0.876</m:t>
          </m:r>
        </m:oMath>
      </m:oMathPara>
    </w:p>
    <w:p>
      <w:pPr>
        <w:pStyle w:val="pStyle"/>
      </w:pPr>
      <w:r>
        <w:t xml:space="preserve">∆Z</w:t>
      </w:r>
      <w:r>
        <w:rPr>
          <w:vertAlign w:val="subscript"/>
        </w:rPr>
        <w:t>q</w:t>
      </w:r>
      <w:r>
        <w:t xml:space="preserve"> = ∑q</w:t>
      </w:r>
      <w:r>
        <w:rPr>
          <w:vertAlign w:val="subscript"/>
        </w:rPr>
        <w:t>1</w:t>
      </w:r>
      <w:r>
        <w:t xml:space="preserve"> · p</w:t>
      </w:r>
      <w:r>
        <w:rPr>
          <w:vertAlign w:val="subscript"/>
        </w:rPr>
        <w:t>0</w:t>
      </w:r>
      <w:r>
        <w:t xml:space="preserve"> - ∑q</w:t>
      </w:r>
      <w:r>
        <w:rPr>
          <w:vertAlign w:val="subscript"/>
        </w:rPr>
        <w:t>0</w:t>
      </w:r>
      <w:r>
        <w:t xml:space="preserve"> · p</w:t>
      </w:r>
      <w:r>
        <w:rPr>
          <w:vertAlign w:val="subscript"/>
        </w:rPr>
        <w:t>0</w:t>
      </w:r>
      <w:r>
        <w:t xml:space="preserve"> = 3405 - 3886 = -481</w:t>
      </w:r>
    </w:p>
    <w:p>
      <w:pPr>
        <w:pStyle w:val="pStyle"/>
      </w:pPr>
      <w:r>
        <w:t xml:space="preserve">За счет изменения объема продаж, товарооборот снизился на 12.4% или на 481.</w:t>
      </w:r>
    </w:p>
    <w:p>
      <w:pPr>
        <w:pStyle w:val="pStyle"/>
      </w:pPr>
      <w:r>
        <w:t xml:space="preserve">Покажем взаимосвязь индексов</w:t>
      </w:r>
    </w:p>
    <w:p>
      <w:pPr>
        <w:pStyle w:val="pStyle"/>
      </w:pPr>
      <w:r>
        <w:t xml:space="preserve">I  = Iq · Ip = 0.876 · 1.084 = 0.95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Общий индекс товарооборота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Агрегатные индексы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0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1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2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index.php" TargetMode="External"/>
  <Relationship Id="rId8" Type="http://schemas.openxmlformats.org/officeDocument/2006/relationships/hyperlink" Target="https://www.semestr.ru/economic/ks226.php" TargetMode="External"/>
  <Relationship Id="rId9" Type="http://schemas.openxmlformats.org/officeDocument/2006/relationships/hyperlink" Target="https://axd.semestr.ru/dinam/group.php" TargetMode="External"/>
  <Relationship Id="rId10" Type="http://schemas.openxmlformats.org/officeDocument/2006/relationships/hyperlink" Target="https://axd.semestr.ru/index/ind.php" TargetMode="External"/>
  <Relationship Id="rId11" Type="http://schemas.openxmlformats.org/officeDocument/2006/relationships/hyperlink" Target="https://math.semestr.ru/trend/analis.php" TargetMode="External"/>
  <Relationship Id="rId12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2024-08-21T15:06:00+03:00</dcterms:created>
  <dcterms:modified xsi:type="dcterms:W3CDTF">2024-08-21T15:06:00+03:00</dcterms:modified>
  <dc:title>Общий индекс товарооборота</dc:title>
  <dc:description>https://axd.semestr.ru/index/index.php</dc:description>
  <dc:subject>Общий индекс товарооборота</dc:subject>
  <cp:keywords>агрегатные индексы,индекс товарооборота,индекс цен,индекс физического объема</cp:keywords>
  <cp:category>Общий индекс товарооборота</cp:category>
</cp:coreProperties>
</file>