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Общие индексы физического объема товарооборота будут построены с постоянными весами - ценами базисного периода.</w:t>
      </w:r>
    </w:p>
    <w:p>
      <w:pPr>
        <w:pStyle w:val="pStyle"/>
      </w:pPr>
      <w:r>
        <w:t xml:space="preserve">а) базисные:</w:t>
      </w:r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253∙6.2+161∙26.6+120∙1.8+∙</m:t>
              </m:r>
            </m:num>
            <m:den>
              <m:r>
                <m:t>201∙6.2+205∙26.6+59∙1.8+∙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6067.2</m:t>
              </m:r>
            </m:num>
            <m:den>
              <m:r>
                <m:t>6805.4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0.892</m:t>
          </m:r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2/0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263∙6.2+121∙26.6+181∙1.8+∙</m:t>
              </m:r>
            </m:num>
            <m:den>
              <m:r>
                <m:t>201∙6.2+205∙26.6+59∙1.8+∙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5175</m:t>
              </m:r>
            </m:num>
            <m:den>
              <m:r>
                <m:t>6805.4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0.76</m:t>
          </m:r>
        </m:oMath>
      </m:oMathPara>
    </w:p>
    <w:p>
      <w:pPr>
        <w:pStyle w:val="pStyle"/>
      </w:pPr>
      <w:r>
        <w:t xml:space="preserve">б) цепные:</w:t>
      </w:r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253∙6.2+161∙26.6+120∙1.8+∙</m:t>
              </m:r>
            </m:num>
            <m:den>
              <m:r>
                <m:t>201∙6.2+205∙26.6+59∙1.8+∙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6067.2</m:t>
              </m:r>
            </m:num>
            <m:den>
              <m:r>
                <m:t>6805.4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0.892</m:t>
          </m:r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2/1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2/1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263∙6.2+121∙26.6+181∙1.8+∙</m:t>
              </m:r>
            </m:num>
            <m:den>
              <m:r>
                <m:t>253∙6.2+161∙26.6+120∙1.8+∙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5175</m:t>
              </m:r>
            </m:num>
            <m:den>
              <m:r>
                <m:t>6067.2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0.853</m:t>
          </m:r>
        </m:oMath>
      </m:oMathPara>
    </w:p>
    <w:p>
      <w:pPr>
        <w:pStyle w:val="pStyle"/>
      </w:pPr>
      <w:r>
        <w:t xml:space="preserve">Общие индексы цен будут построены с переменными весами.</w:t>
      </w:r>
    </w:p>
    <w:p>
      <w:pPr>
        <w:pStyle w:val="pStyle"/>
      </w:pPr>
      <w:r>
        <w:t xml:space="preserve">а) базисные:</w:t>
      </w:r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253∙6.2+161∙26.6+120∙1.8+∙</m:t>
              </m:r>
            </m:num>
            <m:den>
              <m:r>
                <m:t>253∙6.2+161∙26.6+120∙1.8+∙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255270</m:t>
              </m:r>
            </m:num>
            <m:den>
              <m:r>
                <m:t>6067.2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42.074</m:t>
          </m:r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2/0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263∙6.2+121∙26.6+181∙1.8+∙</m:t>
              </m:r>
            </m:num>
            <m:den>
              <m:r>
                <m:t>263∙6.2+121∙26.6+181∙1.8+∙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278866</m:t>
              </m:r>
            </m:num>
            <m:den>
              <m:r>
                <m:t>5175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53.887</m:t>
          </m:r>
        </m:oMath>
      </m:oMathPara>
    </w:p>
    <w:p>
      <w:pPr>
        <w:pStyle w:val="pStyle"/>
      </w:pPr>
      <w:r>
        <w:t xml:space="preserve">б) цепные:</w:t>
      </w:r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1/0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253∙321+161∙1017+120∙86+∙</m:t>
              </m:r>
            </m:num>
            <m:den>
              <m:r>
                <m:t>253∙321+161∙1017+120∙86+∙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255270</m:t>
              </m:r>
            </m:num>
            <m:den>
              <m:r>
                <m:t>6067.2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42.074</m:t>
          </m:r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2/1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2</m:t>
                      </m:r>
                    </m:sub>
                  </m:sSub>
                  <m:sSub>
                    <m:e>
                      <m:r>
                        <m:t>∙z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2/1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263∙430+121∙1207+181∙109+∙</m:t>
              </m:r>
            </m:num>
            <m:den>
              <m:r>
                <m:t>263∙430+121∙1207+181∙109+∙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278866</m:t>
              </m:r>
            </m:num>
            <m:den>
              <m:r>
                <m:t>223046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1.25</m:t>
          </m:r>
        </m:oMath>
      </m:oMathPara>
    </w:p>
    <w:p>
      <w:pPr>
        <w:pStyle w:val="pStyle"/>
      </w:pPr>
      <w:r>
        <w:t xml:space="preserve">Взаимосвязь, имеющая место в индивидуальных базисных и цепных индексах сохраняется в общих индексах только с постоянными весами.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Индексы с постоянными и переменными весами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Общий индекс товарооборота</w:t>
        </w:r>
      </w:hyperlink>
    </w:p>
    <w:p>
      <w:hyperlink r:id="rId9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0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1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2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weight.php" TargetMode="External"/>
  <Relationship Id="rId8" Type="http://schemas.openxmlformats.org/officeDocument/2006/relationships/hyperlink" Target="https://axd.semestr.ru/index/index.php" TargetMode="External"/>
  <Relationship Id="rId9" Type="http://schemas.openxmlformats.org/officeDocument/2006/relationships/hyperlink" Target="https://axd.semestr.ru/index/ind.php" TargetMode="External"/>
  <Relationship Id="rId10" Type="http://schemas.openxmlformats.org/officeDocument/2006/relationships/hyperlink" Target="https://axd.semestr.ru/dinam/group.php" TargetMode="External"/>
  <Relationship Id="rId11" Type="http://schemas.openxmlformats.org/officeDocument/2006/relationships/hyperlink" Target="https://math.semestr.ru/trend/analis.php" TargetMode="External"/>
  <Relationship Id="rId12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2024-10-30T19:26:00+03:00</dcterms:created>
  <dcterms:modified xsi:type="dcterms:W3CDTF">2024-10-30T19:26:00+03:00</dcterms:modified>
  <dc:title>Индексы с постоянными и переменными весами</dc:title>
  <dc:description>https://axd.semestr.ru/index/weight.php</dc:description>
  <dc:subject>Индексы с постоянными и переменными весами</dc:subject>
  <cp:keywords>Индексы с постоянными и переменными весами</cp:keywords>
  <cp:category>Индексы с постоянными и переменными весами</cp:category>
</cp:coreProperties>
</file>